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5C0C" w:rsidRPr="00763397" w:rsidRDefault="00415C0C" w:rsidP="00797C74">
      <w:pPr>
        <w:spacing w:after="0" w:line="240" w:lineRule="auto"/>
        <w:rPr>
          <w:rFonts w:ascii="Times New Roman" w:hAnsi="Times New Roman" w:cs="Times New Roman"/>
          <w:sz w:val="20"/>
          <w:szCs w:val="20"/>
        </w:rPr>
        <w:sectPr w:rsidR="00415C0C" w:rsidRPr="00763397" w:rsidSect="00A27FE5">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p>
    <w:p w:rsidR="00A742C9" w:rsidRPr="00763397" w:rsidRDefault="00763397" w:rsidP="00797C74">
      <w:pPr>
        <w:spacing w:after="0" w:line="240" w:lineRule="auto"/>
        <w:rPr>
          <w:rFonts w:ascii="Times New Roman" w:hAnsi="Times New Roman" w:cs="Times New Roman"/>
          <w:bCs/>
          <w:sz w:val="24"/>
          <w:szCs w:val="24"/>
          <w:lang w:val="en-GB"/>
        </w:rPr>
      </w:pPr>
      <w:r w:rsidRPr="00763397">
        <w:rPr>
          <w:rFonts w:ascii="Times New Roman" w:hAnsi="Times New Roman" w:cs="Times New Roman"/>
          <w:b/>
          <w:sz w:val="28"/>
          <w:szCs w:val="28"/>
          <w:lang w:val="en-GB"/>
        </w:rPr>
        <w:t>MANAGEMENT AND PROGNOSTIC FACTORS OF ESOPHAGEAL ATRESIAIN UNDER-EQUIPPED FACILITIES: ABOUT 93 CASES</w:t>
      </w:r>
    </w:p>
    <w:p w:rsidR="003F32D3" w:rsidRPr="00763397" w:rsidRDefault="00763397" w:rsidP="00797C74">
      <w:pPr>
        <w:autoSpaceDE w:val="0"/>
        <w:autoSpaceDN w:val="0"/>
        <w:adjustRightInd w:val="0"/>
        <w:spacing w:after="0" w:line="240" w:lineRule="auto"/>
        <w:rPr>
          <w:rFonts w:ascii="Times New Roman" w:hAnsi="Times New Roman" w:cs="Times New Roman"/>
          <w:b/>
          <w:color w:val="000000"/>
          <w:sz w:val="18"/>
          <w:szCs w:val="18"/>
        </w:rPr>
      </w:pPr>
      <w:r w:rsidRPr="00763397">
        <w:rPr>
          <w:rFonts w:ascii="Times New Roman" w:hAnsi="Times New Roman" w:cs="Times New Roman"/>
          <w:b/>
          <w:bCs/>
          <w:sz w:val="24"/>
          <w:szCs w:val="24"/>
          <w:lang w:val="en-GB"/>
        </w:rPr>
        <w:t>N A Ndoye*, A Sagna, M M Traoré, O Ndour, F B Lô, I Wellé, P A Mbaye, G Ngom, I Fall</w:t>
      </w:r>
    </w:p>
    <w:p w:rsidR="00763397" w:rsidRPr="00763397" w:rsidRDefault="00DB7C7B"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vertAlign w:val="superscript"/>
        </w:rPr>
        <w:t>*</w:t>
      </w:r>
      <w:r w:rsidR="00763397" w:rsidRPr="00763397">
        <w:rPr>
          <w:rFonts w:ascii="Times New Roman" w:hAnsi="Times New Roman" w:cs="Times New Roman"/>
        </w:rPr>
        <w:t xml:space="preserve"> </w:t>
      </w:r>
      <w:r w:rsidR="00763397" w:rsidRPr="00763397">
        <w:rPr>
          <w:rFonts w:ascii="Times New Roman" w:hAnsi="Times New Roman" w:cs="Times New Roman"/>
          <w:color w:val="000000"/>
          <w:sz w:val="20"/>
          <w:szCs w:val="20"/>
        </w:rPr>
        <w:t>MD, Cheikh Anta Diop University of Dakar (UCAD), Department of Pediatric Surgery, National University Hospital for Children Albert Royer (CHNEAR), Dakar, Senegal,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MD, UCAD of Dakar, Department of Pediatric Surgery,CHNEAR of Dakar, Sénégal,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MD, UCAD of Dakar, Department of Anesthesia-resuscitation CHNEAR of Dakar, Sénégal,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PHD, UCAD of Dakar, Departement of Pediatric  Surgery, Aristide Le Dantec Hospital, of Dakar, Sénégal,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MD, Departement of Pediatric  Surgery, Aristide Le Dantec Hospital, of Dakar, Sénégal,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MD, Department of Pediatric Surgery,CHNEAR of Dakar, Sénégal,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MD, UCAD of Dakar, Department of Pediatric Surgery,CHNEAR of Dakar, Sénégal,</w:t>
      </w:r>
    </w:p>
    <w:p w:rsidR="00763397"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PHD, UCAD of Dakar, Department of Pediatric Surgery,CHNEAR of Dakar, Sénégal,</w:t>
      </w:r>
    </w:p>
    <w:p w:rsidR="0097722D" w:rsidRPr="00763397" w:rsidRDefault="00763397" w:rsidP="00797C74">
      <w:pPr>
        <w:autoSpaceDE w:val="0"/>
        <w:autoSpaceDN w:val="0"/>
        <w:adjustRightInd w:val="0"/>
        <w:spacing w:after="0" w:line="240" w:lineRule="auto"/>
        <w:rPr>
          <w:rFonts w:ascii="Times New Roman" w:hAnsi="Times New Roman" w:cs="Times New Roman"/>
          <w:color w:val="000000"/>
          <w:sz w:val="20"/>
          <w:szCs w:val="20"/>
        </w:rPr>
      </w:pPr>
      <w:r w:rsidRPr="00763397">
        <w:rPr>
          <w:rFonts w:ascii="Times New Roman" w:hAnsi="Times New Roman" w:cs="Times New Roman"/>
          <w:color w:val="000000"/>
          <w:sz w:val="20"/>
          <w:szCs w:val="20"/>
        </w:rPr>
        <w:t>PHD,UCAD of Dakar, Department of Pediatric Surgery,CHNEAR of Dakar, Sénégal</w:t>
      </w:r>
    </w:p>
    <w:p w:rsidR="00554B62" w:rsidRPr="00763397" w:rsidRDefault="00554B62" w:rsidP="00797C74">
      <w:pPr>
        <w:autoSpaceDE w:val="0"/>
        <w:autoSpaceDN w:val="0"/>
        <w:adjustRightInd w:val="0"/>
        <w:spacing w:after="0" w:line="240" w:lineRule="auto"/>
        <w:rPr>
          <w:rFonts w:ascii="Times New Roman" w:hAnsi="Times New Roman" w:cs="Times New Roman"/>
          <w:color w:val="000000"/>
          <w:sz w:val="20"/>
          <w:szCs w:val="20"/>
        </w:rPr>
      </w:pPr>
    </w:p>
    <w:p w:rsidR="003F32D3" w:rsidRPr="00763397" w:rsidRDefault="003F32D3" w:rsidP="00797C74">
      <w:pPr>
        <w:spacing w:after="0" w:line="240" w:lineRule="auto"/>
        <w:rPr>
          <w:rFonts w:ascii="Times New Roman" w:hAnsi="Times New Roman" w:cs="Times New Roman"/>
          <w:color w:val="000000"/>
          <w:sz w:val="20"/>
          <w:szCs w:val="20"/>
        </w:rPr>
      </w:pPr>
    </w:p>
    <w:tbl>
      <w:tblPr>
        <w:tblW w:w="5000" w:type="pct"/>
        <w:tblLook w:val="04A0" w:firstRow="1" w:lastRow="0" w:firstColumn="1" w:lastColumn="0" w:noHBand="0" w:noVBand="1"/>
      </w:tblPr>
      <w:tblGrid>
        <w:gridCol w:w="2461"/>
        <w:gridCol w:w="7115"/>
      </w:tblGrid>
      <w:tr w:rsidR="003F32D3" w:rsidRPr="00763397" w:rsidTr="00FB3F95">
        <w:trPr>
          <w:trHeight w:val="285"/>
        </w:trPr>
        <w:tc>
          <w:tcPr>
            <w:tcW w:w="1285" w:type="pct"/>
            <w:shd w:val="clear" w:color="auto" w:fill="auto"/>
            <w:vAlign w:val="center"/>
            <w:hideMark/>
          </w:tcPr>
          <w:p w:rsidR="003F32D3" w:rsidRPr="00763397" w:rsidRDefault="003F32D3" w:rsidP="00797C74">
            <w:pPr>
              <w:spacing w:after="0" w:line="240" w:lineRule="auto"/>
              <w:rPr>
                <w:rFonts w:ascii="Times New Roman" w:eastAsia="Times New Roman" w:hAnsi="Times New Roman" w:cs="Times New Roman"/>
                <w:i/>
                <w:iCs/>
                <w:color w:val="000000"/>
                <w:sz w:val="20"/>
                <w:szCs w:val="20"/>
                <w:lang w:bidi="fa-IR"/>
              </w:rPr>
            </w:pPr>
          </w:p>
        </w:tc>
        <w:tc>
          <w:tcPr>
            <w:tcW w:w="3715" w:type="pct"/>
            <w:shd w:val="clear" w:color="auto" w:fill="auto"/>
            <w:vAlign w:val="center"/>
            <w:hideMark/>
          </w:tcPr>
          <w:p w:rsidR="003F32D3" w:rsidRPr="00763397" w:rsidRDefault="003F32D3" w:rsidP="00797C74">
            <w:pPr>
              <w:spacing w:after="0" w:line="240" w:lineRule="auto"/>
              <w:rPr>
                <w:rFonts w:ascii="Times New Roman" w:eastAsia="Times New Roman" w:hAnsi="Times New Roman" w:cs="Times New Roman"/>
                <w:b/>
                <w:bCs/>
                <w:i/>
                <w:iCs/>
                <w:color w:val="000000"/>
                <w:lang w:bidi="fa-IR"/>
              </w:rPr>
            </w:pPr>
          </w:p>
        </w:tc>
      </w:tr>
      <w:tr w:rsidR="003F32D3" w:rsidRPr="00763397" w:rsidTr="00FB3F95">
        <w:trPr>
          <w:trHeight w:val="285"/>
        </w:trPr>
        <w:tc>
          <w:tcPr>
            <w:tcW w:w="1285" w:type="pct"/>
            <w:shd w:val="clear" w:color="auto" w:fill="auto"/>
            <w:vAlign w:val="center"/>
            <w:hideMark/>
          </w:tcPr>
          <w:p w:rsidR="003F32D3" w:rsidRPr="00763397" w:rsidRDefault="003F32D3" w:rsidP="00797C74">
            <w:pPr>
              <w:spacing w:after="0" w:line="240" w:lineRule="auto"/>
              <w:rPr>
                <w:rFonts w:ascii="Times New Roman" w:eastAsia="Times New Roman" w:hAnsi="Times New Roman" w:cs="Times New Roman"/>
                <w:i/>
                <w:iCs/>
                <w:color w:val="000000"/>
                <w:sz w:val="20"/>
                <w:szCs w:val="20"/>
                <w:lang w:bidi="fa-IR"/>
              </w:rPr>
            </w:pPr>
          </w:p>
        </w:tc>
        <w:tc>
          <w:tcPr>
            <w:tcW w:w="3715" w:type="pct"/>
            <w:shd w:val="clear" w:color="auto" w:fill="auto"/>
            <w:vAlign w:val="center"/>
            <w:hideMark/>
          </w:tcPr>
          <w:p w:rsidR="003F32D3" w:rsidRPr="00763397" w:rsidRDefault="003F32D3" w:rsidP="00797C74">
            <w:pPr>
              <w:spacing w:after="0" w:line="240" w:lineRule="auto"/>
              <w:rPr>
                <w:rFonts w:ascii="Times New Roman" w:eastAsia="Times New Roman" w:hAnsi="Times New Roman" w:cs="Times New Roman"/>
                <w:b/>
                <w:bCs/>
                <w:iCs/>
                <w:color w:val="000000"/>
                <w:sz w:val="24"/>
                <w:szCs w:val="24"/>
                <w:lang w:bidi="fa-IR"/>
              </w:rPr>
            </w:pPr>
            <w:r w:rsidRPr="00763397">
              <w:rPr>
                <w:rFonts w:ascii="Times New Roman" w:eastAsia="Times New Roman" w:hAnsi="Times New Roman" w:cs="Times New Roman"/>
                <w:b/>
                <w:bCs/>
                <w:iCs/>
                <w:color w:val="000000"/>
                <w:sz w:val="24"/>
                <w:szCs w:val="24"/>
                <w:lang w:bidi="fa-IR"/>
              </w:rPr>
              <w:t> </w:t>
            </w:r>
            <w:r w:rsidR="00BC5D0F" w:rsidRPr="00763397">
              <w:rPr>
                <w:rFonts w:ascii="Times New Roman" w:eastAsia="Times New Roman" w:hAnsi="Times New Roman" w:cs="Times New Roman"/>
                <w:b/>
                <w:bCs/>
                <w:i/>
                <w:iCs/>
                <w:color w:val="000000"/>
                <w:sz w:val="24"/>
                <w:szCs w:val="24"/>
                <w:lang w:bidi="fa-IR"/>
              </w:rPr>
              <w:t>Abstract</w:t>
            </w:r>
          </w:p>
        </w:tc>
      </w:tr>
      <w:tr w:rsidR="003F32D3" w:rsidRPr="00763397" w:rsidTr="00FB3F95">
        <w:trPr>
          <w:trHeight w:val="1196"/>
        </w:trPr>
        <w:tc>
          <w:tcPr>
            <w:tcW w:w="1285" w:type="pct"/>
            <w:shd w:val="clear" w:color="auto" w:fill="auto"/>
            <w:hideMark/>
          </w:tcPr>
          <w:p w:rsidR="003F32D3" w:rsidRPr="00763397" w:rsidRDefault="003F32D3" w:rsidP="00797C74">
            <w:pPr>
              <w:spacing w:after="0" w:line="240" w:lineRule="auto"/>
              <w:rPr>
                <w:rFonts w:ascii="Times New Roman" w:eastAsia="Times New Roman" w:hAnsi="Times New Roman" w:cs="Times New Roman"/>
                <w:b/>
                <w:bCs/>
                <w:i/>
                <w:iCs/>
                <w:color w:val="000000"/>
                <w:sz w:val="20"/>
                <w:szCs w:val="20"/>
                <w:lang w:bidi="fa-IR"/>
              </w:rPr>
            </w:pPr>
          </w:p>
          <w:p w:rsidR="003F32D3" w:rsidRPr="00763397" w:rsidRDefault="003F32D3" w:rsidP="00797C74">
            <w:pPr>
              <w:spacing w:after="0" w:line="240" w:lineRule="auto"/>
              <w:rPr>
                <w:rFonts w:ascii="Times New Roman" w:eastAsia="Times New Roman" w:hAnsi="Times New Roman" w:cs="Times New Roman"/>
                <w:b/>
                <w:bCs/>
                <w:i/>
                <w:iCs/>
                <w:color w:val="000000"/>
                <w:sz w:val="20"/>
                <w:szCs w:val="20"/>
                <w:lang w:bidi="fa-IR"/>
              </w:rPr>
            </w:pPr>
            <w:r w:rsidRPr="00763397">
              <w:rPr>
                <w:rFonts w:ascii="Times New Roman" w:eastAsia="Times New Roman" w:hAnsi="Times New Roman" w:cs="Times New Roman"/>
                <w:b/>
                <w:bCs/>
                <w:i/>
                <w:iCs/>
                <w:color w:val="000000"/>
                <w:sz w:val="20"/>
                <w:szCs w:val="20"/>
                <w:lang w:bidi="fa-IR"/>
              </w:rPr>
              <w:t>Keywords:</w:t>
            </w:r>
            <w:r w:rsidRPr="00763397">
              <w:rPr>
                <w:rFonts w:ascii="Times New Roman" w:eastAsia="Times New Roman" w:hAnsi="Times New Roman" w:cs="Times New Roman"/>
                <w:b/>
                <w:bCs/>
                <w:i/>
                <w:iCs/>
                <w:color w:val="000000"/>
                <w:sz w:val="20"/>
                <w:szCs w:val="20"/>
                <w:lang w:bidi="fa-IR"/>
              </w:rPr>
              <w:br/>
            </w:r>
            <w:r w:rsidR="00763397" w:rsidRPr="00763397">
              <w:rPr>
                <w:rFonts w:ascii="Times New Roman" w:eastAsia="Times New Roman" w:hAnsi="Times New Roman" w:cs="Times New Roman"/>
                <w:i/>
                <w:iCs/>
                <w:color w:val="000000"/>
                <w:sz w:val="20"/>
                <w:szCs w:val="20"/>
                <w:lang w:val="en-GB" w:bidi="fa-IR"/>
              </w:rPr>
              <w:t>atresia; esophagus; surgery; high mortality.</w:t>
            </w:r>
            <w:r w:rsidR="00FB3F95" w:rsidRPr="00763397">
              <w:rPr>
                <w:rFonts w:ascii="Times New Roman" w:eastAsia="Times New Roman" w:hAnsi="Times New Roman" w:cs="Times New Roman"/>
                <w:i/>
                <w:iCs/>
                <w:color w:val="000000"/>
                <w:sz w:val="20"/>
                <w:szCs w:val="20"/>
                <w:lang w:val="en-GB" w:bidi="fa-IR"/>
              </w:rPr>
              <w:t>.</w:t>
            </w:r>
          </w:p>
        </w:tc>
        <w:tc>
          <w:tcPr>
            <w:tcW w:w="3715" w:type="pct"/>
            <w:shd w:val="clear" w:color="auto" w:fill="auto"/>
            <w:vAlign w:val="center"/>
            <w:hideMark/>
          </w:tcPr>
          <w:p w:rsidR="00763397" w:rsidRPr="00763397" w:rsidRDefault="00763397" w:rsidP="00797C74">
            <w:pPr>
              <w:spacing w:after="0" w:line="240" w:lineRule="auto"/>
              <w:jc w:val="both"/>
              <w:rPr>
                <w:rFonts w:ascii="Times New Roman" w:eastAsia="Times New Roman" w:hAnsi="Times New Roman" w:cs="Times New Roman"/>
                <w:color w:val="000000"/>
                <w:sz w:val="20"/>
                <w:szCs w:val="20"/>
                <w:lang w:val="en-GB"/>
              </w:rPr>
            </w:pPr>
            <w:r w:rsidRPr="00763397">
              <w:rPr>
                <w:rFonts w:ascii="Times New Roman" w:eastAsia="Times New Roman" w:hAnsi="Times New Roman" w:cs="Times New Roman"/>
                <w:b/>
                <w:color w:val="000000"/>
                <w:sz w:val="20"/>
                <w:szCs w:val="20"/>
                <w:lang w:val="en-GB"/>
              </w:rPr>
              <w:t>Introduction:</w:t>
            </w:r>
            <w:r w:rsidRPr="00763397">
              <w:rPr>
                <w:rFonts w:ascii="Times New Roman" w:eastAsia="Times New Roman" w:hAnsi="Times New Roman" w:cs="Times New Roman"/>
                <w:color w:val="000000"/>
                <w:sz w:val="20"/>
                <w:szCs w:val="20"/>
                <w:lang w:val="en-GB"/>
              </w:rPr>
              <w:t xml:space="preserve"> Mortality inesophageal atresia remains high in sub-Saharan Africa. Our purpose in this study is to describe our diagnostic and therapeutic management, and also identify the factors of morbidity and mortality in ill-equipped environment.</w:t>
            </w:r>
          </w:p>
          <w:p w:rsidR="00763397" w:rsidRPr="00763397" w:rsidRDefault="00763397" w:rsidP="00797C74">
            <w:pPr>
              <w:spacing w:after="0" w:line="240" w:lineRule="auto"/>
              <w:jc w:val="both"/>
              <w:rPr>
                <w:rFonts w:ascii="Times New Roman" w:eastAsia="Times New Roman" w:hAnsi="Times New Roman" w:cs="Times New Roman"/>
                <w:color w:val="000000"/>
                <w:sz w:val="20"/>
                <w:szCs w:val="20"/>
                <w:lang w:val="en-GB"/>
              </w:rPr>
            </w:pPr>
            <w:r w:rsidRPr="00763397">
              <w:rPr>
                <w:rFonts w:ascii="Times New Roman" w:eastAsia="Times New Roman" w:hAnsi="Times New Roman" w:cs="Times New Roman"/>
                <w:b/>
                <w:color w:val="000000"/>
                <w:sz w:val="20"/>
                <w:szCs w:val="20"/>
                <w:lang w:val="en-GB"/>
              </w:rPr>
              <w:t xml:space="preserve">Patients And Methods: </w:t>
            </w:r>
            <w:r w:rsidRPr="00763397">
              <w:rPr>
                <w:rFonts w:ascii="Times New Roman" w:eastAsia="Times New Roman" w:hAnsi="Times New Roman" w:cs="Times New Roman"/>
                <w:color w:val="000000"/>
                <w:sz w:val="20"/>
                <w:szCs w:val="20"/>
                <w:lang w:val="en-GB"/>
              </w:rPr>
              <w:t>A retrospective descriptive and analytical study was carried out between April 2010 and March 2016 on newborn cases in the Department of Pediatric Surgery at the Albert Royer Children's Hospital in Dakar, for esophagealatresia. The parameters studied were as follows: delay in diagnosis, the associated pathologies, if any, Waterston’s system of prognostic classification, the surgical time, and the clinical and paraclinical evolution after treatment.</w:t>
            </w:r>
          </w:p>
          <w:p w:rsidR="00763397" w:rsidRPr="00763397" w:rsidRDefault="00763397" w:rsidP="00797C74">
            <w:pPr>
              <w:spacing w:after="0" w:line="240" w:lineRule="auto"/>
              <w:jc w:val="both"/>
              <w:rPr>
                <w:rFonts w:ascii="Times New Roman" w:eastAsia="Times New Roman" w:hAnsi="Times New Roman" w:cs="Times New Roman"/>
                <w:color w:val="000000"/>
                <w:sz w:val="20"/>
                <w:szCs w:val="20"/>
                <w:lang w:val="en-GB"/>
              </w:rPr>
            </w:pPr>
            <w:r w:rsidRPr="00763397">
              <w:rPr>
                <w:rFonts w:ascii="Times New Roman" w:eastAsia="Times New Roman" w:hAnsi="Times New Roman" w:cs="Times New Roman"/>
                <w:b/>
                <w:color w:val="000000"/>
                <w:sz w:val="20"/>
                <w:szCs w:val="20"/>
                <w:lang w:val="en-GB"/>
              </w:rPr>
              <w:t>Outcomes:</w:t>
            </w:r>
            <w:r w:rsidRPr="00763397">
              <w:rPr>
                <w:rFonts w:ascii="Times New Roman" w:eastAsia="Times New Roman" w:hAnsi="Times New Roman" w:cs="Times New Roman"/>
                <w:color w:val="000000"/>
                <w:sz w:val="20"/>
                <w:szCs w:val="20"/>
                <w:lang w:val="en-GB"/>
              </w:rPr>
              <w:t xml:space="preserve"> Ninety-three cases of esophageal atresia have beentreatedfor the last six years. There were 59 boys and 34 girls. No cases of prenatal diagnosis were noted. Excessive salivation and respiratory distress were mainly thebackground circumstances. The mean age at admission was 5.16 days (ranging from 0 to 21 days). The mean therapeutic time was 8.41 days with extremes of 1 and 21 days. The related disorders were cardiac in 58.33% of cases, anorectal in 25% of cases, digestive and bony in 16% of cases. Applyingthe Waterston classification, 38 patients were in Group A, 45 in Group B, and 10 in Group C. Hospital-acquired infection (HAI) and anastomotic fistula constituted the bulk of postoperative morbidity. Sixty-one patients died after surgery, an overall mortality rate of 76.3%. Sixty-five percent of them had a nosocomial infection. Mortality was 73.49% after surgical operation with a survival rate of 26.51%.</w:t>
            </w:r>
          </w:p>
          <w:p w:rsidR="003F32D3" w:rsidRPr="00763397" w:rsidRDefault="00763397" w:rsidP="00797C74">
            <w:pPr>
              <w:spacing w:after="0" w:line="240" w:lineRule="auto"/>
              <w:jc w:val="both"/>
              <w:rPr>
                <w:rFonts w:ascii="Times New Roman" w:eastAsia="Times New Roman" w:hAnsi="Times New Roman" w:cs="Times New Roman"/>
                <w:color w:val="000000"/>
                <w:sz w:val="20"/>
                <w:szCs w:val="20"/>
                <w:lang w:bidi="fa-IR"/>
              </w:rPr>
            </w:pPr>
            <w:r w:rsidRPr="00763397">
              <w:rPr>
                <w:rFonts w:ascii="Times New Roman" w:eastAsia="Times New Roman" w:hAnsi="Times New Roman" w:cs="Times New Roman"/>
                <w:b/>
                <w:color w:val="000000"/>
                <w:sz w:val="20"/>
                <w:szCs w:val="20"/>
                <w:lang w:val="en-GB"/>
              </w:rPr>
              <w:t>Conclusion:</w:t>
            </w:r>
            <w:r w:rsidRPr="00763397">
              <w:rPr>
                <w:rFonts w:ascii="Times New Roman" w:eastAsia="Times New Roman" w:hAnsi="Times New Roman" w:cs="Times New Roman"/>
                <w:color w:val="000000"/>
                <w:sz w:val="20"/>
                <w:szCs w:val="20"/>
                <w:lang w:val="en-GB"/>
              </w:rPr>
              <w:t xml:space="preserve"> Mortality in esophageal atresia is still high in developing countries and remains mainly related to delayed diagnosis, associated malformations and nosocomial infections.</w:t>
            </w:r>
          </w:p>
        </w:tc>
      </w:tr>
      <w:tr w:rsidR="003F32D3" w:rsidRPr="00763397" w:rsidTr="00FB3F95">
        <w:trPr>
          <w:trHeight w:val="285"/>
        </w:trPr>
        <w:tc>
          <w:tcPr>
            <w:tcW w:w="1285" w:type="pct"/>
            <w:shd w:val="clear" w:color="auto" w:fill="auto"/>
            <w:vAlign w:val="center"/>
          </w:tcPr>
          <w:p w:rsidR="003F32D3" w:rsidRPr="00763397" w:rsidRDefault="003F32D3" w:rsidP="00797C74">
            <w:pPr>
              <w:spacing w:after="0" w:line="240" w:lineRule="auto"/>
              <w:rPr>
                <w:rFonts w:ascii="Times New Roman" w:eastAsia="Times New Roman" w:hAnsi="Times New Roman" w:cs="Times New Roman"/>
                <w:i/>
                <w:iCs/>
                <w:color w:val="000000"/>
                <w:sz w:val="20"/>
                <w:szCs w:val="20"/>
                <w:lang w:bidi="fa-IR"/>
              </w:rPr>
            </w:pPr>
          </w:p>
        </w:tc>
        <w:tc>
          <w:tcPr>
            <w:tcW w:w="3715" w:type="pct"/>
            <w:shd w:val="clear" w:color="auto" w:fill="auto"/>
            <w:vAlign w:val="center"/>
            <w:hideMark/>
          </w:tcPr>
          <w:p w:rsidR="003F32D3" w:rsidRPr="00763397" w:rsidRDefault="003F32D3" w:rsidP="00797C74">
            <w:pPr>
              <w:spacing w:after="0" w:line="240" w:lineRule="auto"/>
              <w:rPr>
                <w:rFonts w:ascii="Times New Roman" w:eastAsia="Times New Roman" w:hAnsi="Times New Roman" w:cs="Times New Roman"/>
                <w:color w:val="000000"/>
                <w:sz w:val="18"/>
                <w:szCs w:val="18"/>
                <w:lang w:bidi="fa-IR"/>
              </w:rPr>
            </w:pPr>
          </w:p>
        </w:tc>
      </w:tr>
    </w:tbl>
    <w:p w:rsidR="00FB3F95" w:rsidRPr="00763397" w:rsidRDefault="00FB3F95" w:rsidP="00797C74">
      <w:pPr>
        <w:spacing w:after="0" w:line="240" w:lineRule="auto"/>
        <w:rPr>
          <w:rFonts w:ascii="Times New Roman" w:hAnsi="Times New Roman" w:cs="Times New Roman"/>
          <w:color w:val="000000" w:themeColor="text1"/>
          <w:sz w:val="20"/>
          <w:szCs w:val="20"/>
        </w:rPr>
      </w:pPr>
    </w:p>
    <w:p w:rsidR="00FB3F95" w:rsidRPr="00763397" w:rsidRDefault="00FB3F95" w:rsidP="00797C74">
      <w:pPr>
        <w:spacing w:after="0" w:line="240" w:lineRule="auto"/>
        <w:jc w:val="both"/>
        <w:rPr>
          <w:rFonts w:ascii="Times New Roman" w:hAnsi="Times New Roman" w:cs="Times New Roman"/>
          <w:b/>
          <w:color w:val="000000" w:themeColor="text1"/>
          <w:sz w:val="24"/>
          <w:szCs w:val="20"/>
        </w:rPr>
      </w:pPr>
      <w:r w:rsidRPr="00763397">
        <w:rPr>
          <w:rFonts w:ascii="Times New Roman" w:hAnsi="Times New Roman" w:cs="Times New Roman"/>
          <w:b/>
          <w:color w:val="000000" w:themeColor="text1"/>
          <w:sz w:val="24"/>
          <w:szCs w:val="20"/>
        </w:rPr>
        <w:t>Introduction</w:t>
      </w:r>
      <w:r w:rsidR="00763397" w:rsidRPr="00763397">
        <w:rPr>
          <w:rFonts w:ascii="Times New Roman" w:hAnsi="Times New Roman" w:cs="Times New Roman"/>
          <w:b/>
          <w:color w:val="000000" w:themeColor="text1"/>
          <w:sz w:val="24"/>
          <w:szCs w:val="20"/>
        </w:rPr>
        <w:t xml:space="preserve"> </w:t>
      </w:r>
    </w:p>
    <w:p w:rsidR="00763397" w:rsidRPr="00763397"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 xml:space="preserve">Esophageal atresia is the most common congenital defect of the esophagus </w:t>
      </w:r>
      <w:r w:rsidRPr="00763397">
        <w:rPr>
          <w:rFonts w:ascii="Times New Roman" w:hAnsi="Times New Roman" w:cs="Times New Roman"/>
          <w:sz w:val="20"/>
          <w:szCs w:val="20"/>
        </w:rPr>
        <w:sym w:font="Symbol" w:char="F05B"/>
      </w:r>
      <w:r w:rsidRPr="00763397">
        <w:rPr>
          <w:rFonts w:ascii="Times New Roman" w:hAnsi="Times New Roman" w:cs="Times New Roman"/>
          <w:sz w:val="20"/>
          <w:szCs w:val="20"/>
        </w:rPr>
        <w:t>1-2</w:t>
      </w:r>
      <w:r w:rsidRPr="00763397">
        <w:rPr>
          <w:rFonts w:ascii="Times New Roman" w:hAnsi="Times New Roman" w:cs="Times New Roman"/>
          <w:sz w:val="20"/>
          <w:szCs w:val="20"/>
        </w:rPr>
        <w:sym w:font="Symbol" w:char="F05D"/>
      </w:r>
      <w:r w:rsidRPr="00763397">
        <w:rPr>
          <w:rFonts w:ascii="Times New Roman" w:hAnsi="Times New Roman" w:cs="Times New Roman"/>
          <w:sz w:val="20"/>
          <w:szCs w:val="20"/>
        </w:rPr>
        <w:t>. Usually, the types associated with other malformations are poor prognosis. Though quite common, the advances that have been made in recent years in terms of diagnosis and surgical treatment of this disease, the mortality rate still varies greatly from one area to another. Indeed, morbidity and mortality related toesophageal atresia are low in developed countries. Survival associated with this congenital disorder varies in these areas (90 to 100%)</w:t>
      </w:r>
      <w:r w:rsidRPr="00763397">
        <w:rPr>
          <w:rFonts w:ascii="Times New Roman" w:hAnsi="Times New Roman" w:cs="Times New Roman"/>
          <w:sz w:val="20"/>
          <w:szCs w:val="20"/>
        </w:rPr>
        <w:sym w:font="Symbol" w:char="F05B"/>
      </w:r>
      <w:r w:rsidRPr="00763397">
        <w:rPr>
          <w:rFonts w:ascii="Times New Roman" w:hAnsi="Times New Roman" w:cs="Times New Roman"/>
          <w:sz w:val="20"/>
          <w:szCs w:val="20"/>
        </w:rPr>
        <w:t>3-6</w:t>
      </w:r>
      <w:r w:rsidRPr="00763397">
        <w:rPr>
          <w:rFonts w:ascii="Times New Roman" w:hAnsi="Times New Roman" w:cs="Times New Roman"/>
          <w:sz w:val="20"/>
          <w:szCs w:val="20"/>
        </w:rPr>
        <w:sym w:font="Symbol" w:char="F05D"/>
      </w:r>
      <w:r w:rsidRPr="00763397">
        <w:rPr>
          <w:rFonts w:ascii="Times New Roman" w:hAnsi="Times New Roman" w:cs="Times New Roman"/>
          <w:sz w:val="20"/>
          <w:szCs w:val="20"/>
        </w:rPr>
        <w:t xml:space="preserve">. On the contrary, in sub-Saharan </w:t>
      </w:r>
      <w:r w:rsidRPr="00763397">
        <w:rPr>
          <w:rFonts w:ascii="Times New Roman" w:hAnsi="Times New Roman" w:cs="Times New Roman"/>
          <w:sz w:val="20"/>
          <w:szCs w:val="20"/>
        </w:rPr>
        <w:lastRenderedPageBreak/>
        <w:t xml:space="preserve">Africa, the poor results in the management of esophageal atresia are observable, as demonstrated by many studies </w:t>
      </w:r>
      <w:r w:rsidRPr="00763397">
        <w:rPr>
          <w:rFonts w:ascii="Times New Roman" w:hAnsi="Times New Roman" w:cs="Times New Roman"/>
          <w:sz w:val="20"/>
          <w:szCs w:val="20"/>
        </w:rPr>
        <w:sym w:font="Symbol" w:char="F05B"/>
      </w:r>
      <w:r w:rsidRPr="00763397">
        <w:rPr>
          <w:rFonts w:ascii="Times New Roman" w:hAnsi="Times New Roman" w:cs="Times New Roman"/>
          <w:sz w:val="20"/>
          <w:szCs w:val="20"/>
        </w:rPr>
        <w:t xml:space="preserve">7-9]. The studies conducted on this part of the African continent reveal a mortality rate that concerns more than two-thirds of the newborns </w:t>
      </w:r>
      <w:r w:rsidRPr="00763397">
        <w:rPr>
          <w:rFonts w:ascii="Times New Roman" w:hAnsi="Times New Roman" w:cs="Times New Roman"/>
          <w:sz w:val="20"/>
          <w:szCs w:val="20"/>
        </w:rPr>
        <w:sym w:font="Symbol" w:char="F05B"/>
      </w:r>
      <w:r w:rsidRPr="00763397">
        <w:rPr>
          <w:rFonts w:ascii="Times New Roman" w:hAnsi="Times New Roman" w:cs="Times New Roman"/>
          <w:sz w:val="20"/>
          <w:szCs w:val="20"/>
        </w:rPr>
        <w:t>7-9</w:t>
      </w:r>
      <w:r w:rsidRPr="00763397">
        <w:rPr>
          <w:rFonts w:ascii="Times New Roman" w:hAnsi="Times New Roman" w:cs="Times New Roman"/>
          <w:sz w:val="20"/>
          <w:szCs w:val="20"/>
        </w:rPr>
        <w:sym w:font="Symbol" w:char="F05D"/>
      </w:r>
      <w:r w:rsidRPr="00763397">
        <w:rPr>
          <w:rFonts w:ascii="Times New Roman" w:hAnsi="Times New Roman" w:cs="Times New Roman"/>
          <w:sz w:val="20"/>
          <w:szCs w:val="20"/>
        </w:rPr>
        <w:t>. Despite this discrepancy, there has been no clear-cut difference in conventional surgical techniques between developed and developing countries. From this point of view, it seems useful to focus this work on the diagnostic and therapeutic management of esophageal atresia at the Albert Royer Children's Hospital in Dakar. The specific purpose of the present study is to identify the morbidity and mortality factors related to this pathology in order to improve the subsequent results.</w:t>
      </w:r>
    </w:p>
    <w:p w:rsidR="00797C74" w:rsidRDefault="00797C74" w:rsidP="00797C74">
      <w:pPr>
        <w:spacing w:after="0" w:line="240" w:lineRule="auto"/>
        <w:jc w:val="both"/>
        <w:rPr>
          <w:rFonts w:ascii="Times New Roman" w:hAnsi="Times New Roman" w:cs="Times New Roman"/>
          <w:b/>
          <w:sz w:val="24"/>
          <w:szCs w:val="20"/>
        </w:rPr>
      </w:pPr>
    </w:p>
    <w:p w:rsidR="00763397" w:rsidRDefault="00763397" w:rsidP="00797C74">
      <w:pPr>
        <w:spacing w:after="0" w:line="240" w:lineRule="auto"/>
        <w:jc w:val="both"/>
        <w:rPr>
          <w:rFonts w:ascii="Times New Roman" w:hAnsi="Times New Roman" w:cs="Times New Roman"/>
          <w:b/>
          <w:sz w:val="24"/>
          <w:szCs w:val="20"/>
        </w:rPr>
      </w:pPr>
      <w:r w:rsidRPr="00763397">
        <w:rPr>
          <w:rFonts w:ascii="Times New Roman" w:hAnsi="Times New Roman" w:cs="Times New Roman"/>
          <w:b/>
          <w:sz w:val="24"/>
          <w:szCs w:val="20"/>
        </w:rPr>
        <w:t>Patients &amp; Method</w:t>
      </w:r>
    </w:p>
    <w:p w:rsidR="00763397" w:rsidRPr="00763397"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Our work is a retrospective, descriptive and analytical study. It collated data from 93 cases of esophageal atresia dealt with in the pediatric surgery department of Albert Royer national university children’s hospital (CHNEAR) in Dakar for 6 years (April 2010 to March 20160. Anteroposterior thoraco-abdominal radiography was performed in all patients, and heart ultrasound was used in 91.40% of the patients. There were 59 boys and 34 girls. Some patients died before surgery. Newborns who underwent surgical treatment were divided into 2 groups:</w:t>
      </w:r>
    </w:p>
    <w:p w:rsidR="00763397" w:rsidRPr="00763397" w:rsidRDefault="00763397" w:rsidP="00797C74">
      <w:pPr>
        <w:pStyle w:val="ListParagraph"/>
        <w:numPr>
          <w:ilvl w:val="0"/>
          <w:numId w:val="5"/>
        </w:num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Group 1: Patients who died after surgery,</w:t>
      </w:r>
    </w:p>
    <w:p w:rsidR="00763397" w:rsidRDefault="00763397" w:rsidP="00797C74">
      <w:pPr>
        <w:pStyle w:val="ListParagraph"/>
        <w:numPr>
          <w:ilvl w:val="0"/>
          <w:numId w:val="5"/>
        </w:num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Group 2: Patients living after anaverage 22.3-month follow-up.</w:t>
      </w:r>
    </w:p>
    <w:p w:rsidR="00797C74" w:rsidRDefault="00797C74" w:rsidP="00797C74">
      <w:pPr>
        <w:spacing w:after="0" w:line="240" w:lineRule="auto"/>
        <w:jc w:val="both"/>
        <w:rPr>
          <w:rFonts w:ascii="Times New Roman" w:hAnsi="Times New Roman" w:cs="Times New Roman"/>
          <w:sz w:val="20"/>
          <w:szCs w:val="20"/>
        </w:rPr>
      </w:pPr>
    </w:p>
    <w:p w:rsidR="00763397" w:rsidRPr="00763397"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We studied the parameters likely to impact on morbidity and/or mortality in these 2 groups, namely diagnostic delay, whether or not withassociated malformations and infections, Waterson classification, waiting period in hospital, clinical and paraclinical evolution after the treatment. Epi-info 6 together with the Fischer test were applied as statistical method. Asignificance threshold of 0.05 was adopted.</w:t>
      </w:r>
    </w:p>
    <w:p w:rsidR="00797C74" w:rsidRDefault="00797C74" w:rsidP="00797C74">
      <w:pPr>
        <w:spacing w:after="0" w:line="240" w:lineRule="auto"/>
        <w:jc w:val="both"/>
        <w:rPr>
          <w:rFonts w:ascii="Times New Roman" w:hAnsi="Times New Roman" w:cs="Times New Roman"/>
          <w:b/>
          <w:sz w:val="24"/>
          <w:szCs w:val="20"/>
        </w:rPr>
      </w:pPr>
    </w:p>
    <w:p w:rsidR="00763397" w:rsidRPr="00763397"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b/>
          <w:sz w:val="24"/>
          <w:szCs w:val="20"/>
        </w:rPr>
        <w:t>Outcomes</w:t>
      </w:r>
      <w:r w:rsidRPr="00763397">
        <w:rPr>
          <w:rFonts w:ascii="Times New Roman" w:hAnsi="Times New Roman" w:cs="Times New Roman"/>
          <w:sz w:val="20"/>
          <w:szCs w:val="20"/>
        </w:rPr>
        <w:br/>
        <w:t>During the six-year study, ninety-three cases of esophageal atresia were recorded, i.e. 15.5 cases annually. The circumstances of discovery were generally increased saliva and respiratory distress. No cases of antenatal diagnosis were noted.</w:t>
      </w:r>
    </w:p>
    <w:p w:rsidR="00797C74" w:rsidRDefault="00797C74" w:rsidP="00797C74">
      <w:pPr>
        <w:spacing w:after="0" w:line="240" w:lineRule="auto"/>
        <w:jc w:val="both"/>
        <w:rPr>
          <w:rFonts w:ascii="Times New Roman" w:hAnsi="Times New Roman" w:cs="Times New Roman"/>
          <w:sz w:val="20"/>
          <w:szCs w:val="20"/>
        </w:rPr>
      </w:pPr>
    </w:p>
    <w:p w:rsidR="00763397"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The average birth weight was 2,772g with extremes of 1,200g and 3,800g. The newborns were aged 5.16 days on average at the time of admission with extremes of 0-21 days. At the time of surgery, the age varied between 1 and 21 days with an average of 8.41 days.</w:t>
      </w:r>
    </w:p>
    <w:p w:rsidR="00797C74" w:rsidRPr="00763397" w:rsidRDefault="00797C74" w:rsidP="00797C74">
      <w:pPr>
        <w:spacing w:after="0" w:line="240" w:lineRule="auto"/>
        <w:jc w:val="both"/>
        <w:rPr>
          <w:rFonts w:ascii="Times New Roman" w:hAnsi="Times New Roman" w:cs="Times New Roman"/>
          <w:sz w:val="20"/>
          <w:szCs w:val="20"/>
        </w:rPr>
      </w:pPr>
    </w:p>
    <w:p w:rsidR="00763397"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Associated malformations were cardiac in over half of the cases (58.33%), then anorectal disorders in one third of the cases, digestive and spinal abnormalities were involvedrespectively in 16% of cases. Most of our patients had a lung infection on arrival. This helped give them an average prognosis even before a thorough malformation assessment was completed. Thus, 38 patients were allocated to Group A, 45 to Group B and 10 to Group C as per Waterson’s system of classification.</w:t>
      </w:r>
    </w:p>
    <w:p w:rsidR="00797C74" w:rsidRPr="00763397" w:rsidRDefault="00797C74" w:rsidP="00797C74">
      <w:pPr>
        <w:spacing w:after="0" w:line="240" w:lineRule="auto"/>
        <w:jc w:val="both"/>
        <w:rPr>
          <w:rFonts w:ascii="Times New Roman" w:hAnsi="Times New Roman" w:cs="Times New Roman"/>
          <w:sz w:val="20"/>
          <w:szCs w:val="20"/>
        </w:rPr>
      </w:pPr>
    </w:p>
    <w:p w:rsidR="005B113C" w:rsidRPr="005B113C" w:rsidRDefault="00797C74" w:rsidP="005B113C">
      <w:pPr>
        <w:spacing w:after="0" w:line="240" w:lineRule="auto"/>
        <w:jc w:val="both"/>
        <w:rPr>
          <w:rFonts w:ascii="Times New Roman" w:hAnsi="Times New Roman" w:cs="Times New Roman"/>
          <w:sz w:val="20"/>
          <w:szCs w:val="20"/>
        </w:rPr>
      </w:pPr>
      <w:r w:rsidRPr="00797C74">
        <w:rPr>
          <w:rFonts w:ascii="Times New Roman" w:hAnsi="Times New Roman" w:cs="Times New Roman"/>
          <w:sz w:val="20"/>
          <w:szCs w:val="20"/>
        </w:rPr>
        <w:t>10 newborns died before surgery, or 10.7% of the patients. Among the latter, some patients were able to get an additional assessment, thus making it possible to evidence pathologies associated with esophageal atresia (Table 1). All these newborns were assigned to Group C according to the Waterston classification</w:t>
      </w:r>
      <w:r w:rsidR="00763397" w:rsidRPr="00763397">
        <w:rPr>
          <w:rFonts w:ascii="Times New Roman" w:hAnsi="Times New Roman" w:cs="Times New Roman"/>
          <w:sz w:val="20"/>
          <w:szCs w:val="20"/>
        </w:rPr>
        <w:t>.</w:t>
      </w:r>
      <w:r w:rsidR="00763397" w:rsidRPr="00763397">
        <w:rPr>
          <w:rFonts w:ascii="Times New Roman" w:hAnsi="Times New Roman" w:cs="Times New Roman"/>
          <w:sz w:val="20"/>
          <w:szCs w:val="20"/>
        </w:rPr>
        <w:br/>
      </w:r>
    </w:p>
    <w:p w:rsidR="00763397" w:rsidRPr="005B113C" w:rsidRDefault="005B113C" w:rsidP="005B113C">
      <w:pPr>
        <w:spacing w:after="0" w:line="240" w:lineRule="auto"/>
        <w:jc w:val="center"/>
        <w:rPr>
          <w:rFonts w:ascii="Times New Roman" w:hAnsi="Times New Roman" w:cs="Times New Roman"/>
          <w:b/>
          <w:i/>
          <w:sz w:val="18"/>
          <w:szCs w:val="20"/>
        </w:rPr>
      </w:pPr>
      <w:r w:rsidRPr="005B113C">
        <w:rPr>
          <w:rFonts w:ascii="Times New Roman" w:hAnsi="Times New Roman" w:cs="Times New Roman"/>
          <w:b/>
          <w:i/>
          <w:sz w:val="18"/>
          <w:szCs w:val="20"/>
        </w:rPr>
        <w:t>Table 1: Distribution of associated pathologies in patients who died before surgery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0"/>
        <w:gridCol w:w="2250"/>
        <w:gridCol w:w="2690"/>
      </w:tblGrid>
      <w:tr w:rsidR="00763397" w:rsidRPr="00763397" w:rsidTr="00797C74">
        <w:trPr>
          <w:jc w:val="center"/>
        </w:trPr>
        <w:tc>
          <w:tcPr>
            <w:tcW w:w="4410" w:type="dxa"/>
          </w:tcPr>
          <w:p w:rsidR="00763397" w:rsidRPr="00763397" w:rsidRDefault="00763397" w:rsidP="00797C74">
            <w:pPr>
              <w:jc w:val="both"/>
              <w:rPr>
                <w:rFonts w:ascii="Times New Roman" w:hAnsi="Times New Roman"/>
              </w:rPr>
            </w:pPr>
            <w:r w:rsidRPr="00763397">
              <w:rPr>
                <w:rFonts w:ascii="Times New Roman" w:hAnsi="Times New Roman"/>
              </w:rPr>
              <w:t>Related pathologies</w:t>
            </w:r>
          </w:p>
        </w:tc>
        <w:tc>
          <w:tcPr>
            <w:tcW w:w="2250" w:type="dxa"/>
          </w:tcPr>
          <w:p w:rsidR="00763397" w:rsidRPr="00763397" w:rsidRDefault="00763397" w:rsidP="00797C74">
            <w:pPr>
              <w:jc w:val="both"/>
              <w:rPr>
                <w:rFonts w:ascii="Times New Roman" w:hAnsi="Times New Roman"/>
              </w:rPr>
            </w:pPr>
            <w:r w:rsidRPr="00763397">
              <w:rPr>
                <w:rFonts w:ascii="Times New Roman" w:hAnsi="Times New Roman"/>
              </w:rPr>
              <w:t>Number</w:t>
            </w:r>
          </w:p>
        </w:tc>
        <w:tc>
          <w:tcPr>
            <w:tcW w:w="2690" w:type="dxa"/>
          </w:tcPr>
          <w:p w:rsidR="00763397" w:rsidRPr="00763397" w:rsidRDefault="00763397" w:rsidP="00797C74">
            <w:pPr>
              <w:jc w:val="both"/>
              <w:rPr>
                <w:rFonts w:ascii="Times New Roman" w:hAnsi="Times New Roman"/>
              </w:rPr>
            </w:pPr>
            <w:r w:rsidRPr="00763397">
              <w:rPr>
                <w:rFonts w:ascii="Times New Roman" w:hAnsi="Times New Roman"/>
              </w:rPr>
              <w:t>Percentage</w:t>
            </w:r>
          </w:p>
        </w:tc>
      </w:tr>
      <w:tr w:rsidR="00763397" w:rsidRPr="00763397" w:rsidTr="00797C74">
        <w:trPr>
          <w:jc w:val="center"/>
        </w:trPr>
        <w:tc>
          <w:tcPr>
            <w:tcW w:w="4410" w:type="dxa"/>
          </w:tcPr>
          <w:p w:rsidR="00763397" w:rsidRPr="00763397" w:rsidRDefault="00763397" w:rsidP="00797C74">
            <w:pPr>
              <w:jc w:val="both"/>
              <w:rPr>
                <w:rFonts w:ascii="Times New Roman" w:hAnsi="Times New Roman"/>
              </w:rPr>
            </w:pPr>
            <w:r w:rsidRPr="00763397">
              <w:rPr>
                <w:rFonts w:ascii="Times New Roman" w:hAnsi="Times New Roman"/>
              </w:rPr>
              <w:t>Infections (respiratory and other disorders)</w:t>
            </w:r>
          </w:p>
        </w:tc>
        <w:tc>
          <w:tcPr>
            <w:tcW w:w="2250" w:type="dxa"/>
          </w:tcPr>
          <w:p w:rsidR="00763397" w:rsidRPr="00763397" w:rsidRDefault="00763397" w:rsidP="00797C74">
            <w:pPr>
              <w:jc w:val="both"/>
              <w:rPr>
                <w:rFonts w:ascii="Times New Roman" w:hAnsi="Times New Roman"/>
              </w:rPr>
            </w:pPr>
            <w:r w:rsidRPr="00763397">
              <w:rPr>
                <w:rFonts w:ascii="Times New Roman" w:hAnsi="Times New Roman"/>
              </w:rPr>
              <w:t>7</w:t>
            </w:r>
          </w:p>
        </w:tc>
        <w:tc>
          <w:tcPr>
            <w:tcW w:w="2690" w:type="dxa"/>
          </w:tcPr>
          <w:p w:rsidR="00763397" w:rsidRPr="00763397" w:rsidRDefault="00763397" w:rsidP="00797C74">
            <w:pPr>
              <w:jc w:val="both"/>
              <w:rPr>
                <w:rFonts w:ascii="Times New Roman" w:hAnsi="Times New Roman"/>
              </w:rPr>
            </w:pPr>
            <w:r w:rsidRPr="00763397">
              <w:rPr>
                <w:rFonts w:ascii="Times New Roman" w:hAnsi="Times New Roman"/>
              </w:rPr>
              <w:t>70</w:t>
            </w:r>
          </w:p>
        </w:tc>
      </w:tr>
      <w:tr w:rsidR="00763397" w:rsidRPr="00763397" w:rsidTr="00797C74">
        <w:trPr>
          <w:jc w:val="center"/>
        </w:trPr>
        <w:tc>
          <w:tcPr>
            <w:tcW w:w="4410" w:type="dxa"/>
          </w:tcPr>
          <w:p w:rsidR="00763397" w:rsidRPr="00763397" w:rsidRDefault="00763397" w:rsidP="00797C74">
            <w:pPr>
              <w:jc w:val="both"/>
              <w:rPr>
                <w:rFonts w:ascii="Times New Roman" w:hAnsi="Times New Roman"/>
              </w:rPr>
            </w:pPr>
            <w:r w:rsidRPr="00763397">
              <w:rPr>
                <w:rFonts w:ascii="Times New Roman" w:hAnsi="Times New Roman"/>
              </w:rPr>
              <w:t>Heart abnormalities</w:t>
            </w:r>
          </w:p>
        </w:tc>
        <w:tc>
          <w:tcPr>
            <w:tcW w:w="2250" w:type="dxa"/>
          </w:tcPr>
          <w:p w:rsidR="00763397" w:rsidRPr="00763397" w:rsidRDefault="00763397" w:rsidP="00797C74">
            <w:pPr>
              <w:jc w:val="both"/>
              <w:rPr>
                <w:rFonts w:ascii="Times New Roman" w:hAnsi="Times New Roman"/>
              </w:rPr>
            </w:pPr>
            <w:r w:rsidRPr="00763397">
              <w:rPr>
                <w:rFonts w:ascii="Times New Roman" w:hAnsi="Times New Roman"/>
              </w:rPr>
              <w:t>4</w:t>
            </w:r>
          </w:p>
        </w:tc>
        <w:tc>
          <w:tcPr>
            <w:tcW w:w="2690" w:type="dxa"/>
          </w:tcPr>
          <w:p w:rsidR="00763397" w:rsidRPr="00763397" w:rsidRDefault="00763397" w:rsidP="00797C74">
            <w:pPr>
              <w:jc w:val="both"/>
              <w:rPr>
                <w:rFonts w:ascii="Times New Roman" w:hAnsi="Times New Roman"/>
              </w:rPr>
            </w:pPr>
            <w:r w:rsidRPr="00763397">
              <w:rPr>
                <w:rFonts w:ascii="Times New Roman" w:hAnsi="Times New Roman"/>
              </w:rPr>
              <w:t>40</w:t>
            </w:r>
          </w:p>
        </w:tc>
      </w:tr>
      <w:tr w:rsidR="00763397" w:rsidRPr="00763397" w:rsidTr="00797C74">
        <w:trPr>
          <w:jc w:val="center"/>
        </w:trPr>
        <w:tc>
          <w:tcPr>
            <w:tcW w:w="4410" w:type="dxa"/>
          </w:tcPr>
          <w:p w:rsidR="00763397" w:rsidRPr="00763397" w:rsidRDefault="00763397" w:rsidP="00797C74">
            <w:pPr>
              <w:jc w:val="both"/>
              <w:rPr>
                <w:rFonts w:ascii="Times New Roman" w:hAnsi="Times New Roman"/>
              </w:rPr>
            </w:pPr>
            <w:r w:rsidRPr="00763397">
              <w:rPr>
                <w:rFonts w:ascii="Times New Roman" w:hAnsi="Times New Roman"/>
              </w:rPr>
              <w:t>Other malformations</w:t>
            </w:r>
          </w:p>
        </w:tc>
        <w:tc>
          <w:tcPr>
            <w:tcW w:w="2250" w:type="dxa"/>
          </w:tcPr>
          <w:p w:rsidR="00763397" w:rsidRPr="00763397" w:rsidRDefault="00763397" w:rsidP="00797C74">
            <w:pPr>
              <w:jc w:val="both"/>
              <w:rPr>
                <w:rFonts w:ascii="Times New Roman" w:hAnsi="Times New Roman"/>
              </w:rPr>
            </w:pPr>
            <w:r w:rsidRPr="00763397">
              <w:rPr>
                <w:rFonts w:ascii="Times New Roman" w:hAnsi="Times New Roman"/>
              </w:rPr>
              <w:t>2</w:t>
            </w:r>
          </w:p>
        </w:tc>
        <w:tc>
          <w:tcPr>
            <w:tcW w:w="2690" w:type="dxa"/>
          </w:tcPr>
          <w:p w:rsidR="00763397" w:rsidRPr="00763397" w:rsidRDefault="00763397" w:rsidP="00797C74">
            <w:pPr>
              <w:jc w:val="both"/>
              <w:rPr>
                <w:rFonts w:ascii="Times New Roman" w:hAnsi="Times New Roman"/>
              </w:rPr>
            </w:pPr>
            <w:r w:rsidRPr="00763397">
              <w:rPr>
                <w:rFonts w:ascii="Times New Roman" w:hAnsi="Times New Roman"/>
              </w:rPr>
              <w:t>20</w:t>
            </w:r>
          </w:p>
        </w:tc>
      </w:tr>
    </w:tbl>
    <w:p w:rsidR="00763397" w:rsidRDefault="00797C74" w:rsidP="00797C74">
      <w:pPr>
        <w:spacing w:after="0" w:line="240" w:lineRule="auto"/>
        <w:jc w:val="both"/>
        <w:rPr>
          <w:rFonts w:ascii="Times New Roman" w:hAnsi="Times New Roman" w:cs="Times New Roman"/>
          <w:sz w:val="20"/>
          <w:szCs w:val="20"/>
        </w:rPr>
      </w:pPr>
      <w:r>
        <w:rPr>
          <w:rFonts w:ascii="Times New Roman" w:hAnsi="Times New Roman" w:cs="Times New Roman"/>
          <w:sz w:val="20"/>
          <w:szCs w:val="20"/>
        </w:rPr>
        <w:br/>
      </w:r>
      <w:r w:rsidR="00763397" w:rsidRPr="00763397">
        <w:rPr>
          <w:rFonts w:ascii="Times New Roman" w:hAnsi="Times New Roman" w:cs="Times New Roman"/>
          <w:sz w:val="20"/>
          <w:szCs w:val="20"/>
        </w:rPr>
        <w:t>Eighty-three patients received surgical treatment, including 95.18% ona single surgical procedure, and 4.82% on initial standby treatment, with the gastrostomy type associated or unrelated to esophagostomy.</w:t>
      </w:r>
      <w:r w:rsidR="00763397" w:rsidRPr="00763397">
        <w:rPr>
          <w:rFonts w:ascii="Times New Roman" w:hAnsi="Times New Roman" w:cs="Times New Roman"/>
          <w:sz w:val="20"/>
          <w:szCs w:val="20"/>
        </w:rPr>
        <w:br/>
        <w:t>The post-operative morbidity rate in Group 2 was 45.77%. This was mainly due to nosocomial infections, anastomotic fistula, and pleural effusion. After an average monitoring of 22.3 months (10 and 71 months), 6 cases of anastomotic stenosis were recorded with good improvement after endoscopic dilation sessions (Figure 1).</w:t>
      </w:r>
    </w:p>
    <w:p w:rsidR="00797C74" w:rsidRPr="00763397" w:rsidRDefault="00797C74" w:rsidP="00797C74">
      <w:pPr>
        <w:spacing w:after="0" w:line="240" w:lineRule="auto"/>
        <w:jc w:val="both"/>
        <w:rPr>
          <w:rFonts w:ascii="Times New Roman" w:hAnsi="Times New Roman" w:cs="Times New Roman"/>
          <w:sz w:val="20"/>
          <w:szCs w:val="20"/>
        </w:rPr>
      </w:pPr>
    </w:p>
    <w:p w:rsidR="00763397" w:rsidRPr="00763397" w:rsidRDefault="00763397" w:rsidP="00797C74">
      <w:pPr>
        <w:spacing w:after="0" w:line="240" w:lineRule="auto"/>
        <w:jc w:val="center"/>
        <w:rPr>
          <w:rFonts w:ascii="Times New Roman" w:hAnsi="Times New Roman" w:cs="Times New Roman"/>
          <w:noProof/>
          <w:sz w:val="20"/>
          <w:szCs w:val="20"/>
        </w:rPr>
      </w:pPr>
      <w:r w:rsidRPr="00763397">
        <w:rPr>
          <w:rFonts w:ascii="Times New Roman" w:hAnsi="Times New Roman" w:cs="Times New Roman"/>
          <w:sz w:val="20"/>
          <w:szCs w:val="20"/>
        </w:rPr>
        <w:t xml:space="preserve">. </w:t>
      </w:r>
      <w:r w:rsidRPr="00763397">
        <w:rPr>
          <w:rFonts w:ascii="Times New Roman" w:hAnsi="Times New Roman" w:cs="Times New Roman"/>
          <w:noProof/>
          <w:sz w:val="20"/>
          <w:szCs w:val="20"/>
        </w:rPr>
        <w:drawing>
          <wp:inline distT="0" distB="0" distL="0" distR="0">
            <wp:extent cx="1422400" cy="234442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4376" cy="2347678"/>
                    </a:xfrm>
                    <a:prstGeom prst="rect">
                      <a:avLst/>
                    </a:prstGeom>
                    <a:noFill/>
                    <a:ln>
                      <a:noFill/>
                    </a:ln>
                  </pic:spPr>
                </pic:pic>
              </a:graphicData>
            </a:graphic>
          </wp:inline>
        </w:drawing>
      </w:r>
      <w:r w:rsidRPr="00763397">
        <w:rPr>
          <w:rFonts w:ascii="Times New Roman" w:hAnsi="Times New Roman" w:cs="Times New Roman"/>
          <w:noProof/>
          <w:sz w:val="20"/>
          <w:szCs w:val="20"/>
        </w:rPr>
        <w:drawing>
          <wp:inline distT="0" distB="0" distL="0" distR="0">
            <wp:extent cx="1358900" cy="2347595"/>
            <wp:effectExtent l="0" t="0" r="1270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59927" cy="2349370"/>
                    </a:xfrm>
                    <a:prstGeom prst="rect">
                      <a:avLst/>
                    </a:prstGeom>
                    <a:noFill/>
                    <a:ln>
                      <a:noFill/>
                    </a:ln>
                  </pic:spPr>
                </pic:pic>
              </a:graphicData>
            </a:graphic>
          </wp:inline>
        </w:drawing>
      </w:r>
      <w:r w:rsidRPr="00763397">
        <w:rPr>
          <w:rFonts w:ascii="Times New Roman" w:hAnsi="Times New Roman" w:cs="Times New Roman"/>
          <w:noProof/>
          <w:sz w:val="20"/>
          <w:szCs w:val="20"/>
        </w:rPr>
        <w:drawing>
          <wp:inline distT="0" distB="0" distL="0" distR="0">
            <wp:extent cx="1473200" cy="2312742"/>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74657" cy="2315029"/>
                    </a:xfrm>
                    <a:prstGeom prst="rect">
                      <a:avLst/>
                    </a:prstGeom>
                    <a:noFill/>
                    <a:ln>
                      <a:noFill/>
                    </a:ln>
                  </pic:spPr>
                </pic:pic>
              </a:graphicData>
            </a:graphic>
          </wp:inline>
        </w:drawing>
      </w:r>
      <w:r w:rsidRPr="00763397">
        <w:rPr>
          <w:rFonts w:ascii="Times New Roman" w:hAnsi="Times New Roman" w:cs="Times New Roman"/>
          <w:noProof/>
          <w:sz w:val="20"/>
          <w:szCs w:val="20"/>
        </w:rPr>
        <w:drawing>
          <wp:inline distT="0" distB="0" distL="0" distR="0">
            <wp:extent cx="1371600" cy="2252980"/>
            <wp:effectExtent l="0" t="0" r="0"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72618" cy="2254652"/>
                    </a:xfrm>
                    <a:prstGeom prst="rect">
                      <a:avLst/>
                    </a:prstGeom>
                    <a:noFill/>
                    <a:ln>
                      <a:noFill/>
                    </a:ln>
                  </pic:spPr>
                </pic:pic>
              </a:graphicData>
            </a:graphic>
          </wp:inline>
        </w:drawing>
      </w:r>
    </w:p>
    <w:p w:rsidR="00763397" w:rsidRPr="00797C74" w:rsidRDefault="00763397" w:rsidP="00797C74">
      <w:pPr>
        <w:spacing w:after="0" w:line="240" w:lineRule="auto"/>
        <w:jc w:val="center"/>
        <w:rPr>
          <w:rFonts w:ascii="Times New Roman" w:hAnsi="Times New Roman" w:cs="Times New Roman"/>
          <w:b/>
          <w:i/>
          <w:sz w:val="18"/>
          <w:szCs w:val="20"/>
        </w:rPr>
      </w:pPr>
      <w:r w:rsidRPr="00797C74">
        <w:rPr>
          <w:rFonts w:ascii="Times New Roman" w:hAnsi="Times New Roman" w:cs="Times New Roman"/>
          <w:b/>
          <w:i/>
          <w:noProof/>
          <w:sz w:val="18"/>
          <w:szCs w:val="20"/>
        </w:rPr>
        <w:t>a                                                         b</w:t>
      </w:r>
    </w:p>
    <w:p w:rsidR="00797C74" w:rsidRDefault="00797C74" w:rsidP="00797C74">
      <w:pPr>
        <w:spacing w:after="0" w:line="240" w:lineRule="auto"/>
        <w:jc w:val="center"/>
        <w:rPr>
          <w:rFonts w:ascii="Times New Roman" w:hAnsi="Times New Roman" w:cs="Times New Roman"/>
          <w:b/>
          <w:i/>
          <w:sz w:val="18"/>
          <w:szCs w:val="20"/>
        </w:rPr>
      </w:pPr>
      <w:r w:rsidRPr="00797C74">
        <w:rPr>
          <w:rFonts w:ascii="Times New Roman" w:hAnsi="Times New Roman" w:cs="Times New Roman"/>
          <w:b/>
          <w:i/>
          <w:sz w:val="18"/>
          <w:szCs w:val="20"/>
        </w:rPr>
        <w:t>Figure 1: barium swallowtest showing an anastomotic stenosis at M7 postoperati</w:t>
      </w:r>
      <w:r>
        <w:rPr>
          <w:rFonts w:ascii="Times New Roman" w:hAnsi="Times New Roman" w:cs="Times New Roman"/>
          <w:b/>
          <w:i/>
          <w:sz w:val="18"/>
          <w:szCs w:val="20"/>
        </w:rPr>
        <w:t xml:space="preserve">ve,  a:before dilatations </w:t>
      </w:r>
      <w:r w:rsidRPr="00797C74">
        <w:rPr>
          <w:rFonts w:ascii="Times New Roman" w:hAnsi="Times New Roman" w:cs="Times New Roman"/>
          <w:b/>
          <w:i/>
          <w:sz w:val="18"/>
          <w:szCs w:val="20"/>
        </w:rPr>
        <w:t xml:space="preserve"> b: after 2 sessions of,dilatations</w:t>
      </w:r>
    </w:p>
    <w:p w:rsidR="00797C74" w:rsidRPr="00797C74" w:rsidRDefault="00797C74" w:rsidP="00797C74">
      <w:pPr>
        <w:spacing w:after="0" w:line="240" w:lineRule="auto"/>
        <w:jc w:val="center"/>
        <w:rPr>
          <w:rFonts w:ascii="Times New Roman" w:hAnsi="Times New Roman" w:cs="Times New Roman"/>
          <w:b/>
          <w:i/>
          <w:sz w:val="18"/>
          <w:szCs w:val="20"/>
        </w:rPr>
      </w:pPr>
    </w:p>
    <w:p w:rsidR="00797C74" w:rsidRDefault="00763397" w:rsidP="00797C74">
      <w:pPr>
        <w:spacing w:after="0" w:line="240" w:lineRule="auto"/>
        <w:jc w:val="both"/>
        <w:rPr>
          <w:rFonts w:ascii="Times New Roman" w:hAnsi="Times New Roman" w:cs="Times New Roman"/>
          <w:sz w:val="20"/>
          <w:szCs w:val="20"/>
        </w:rPr>
      </w:pPr>
      <w:r w:rsidRPr="00763397">
        <w:rPr>
          <w:rFonts w:ascii="Times New Roman" w:hAnsi="Times New Roman" w:cs="Times New Roman"/>
          <w:sz w:val="20"/>
          <w:szCs w:val="20"/>
        </w:rPr>
        <w:t xml:space="preserve">An overall mortality rate of 76.30% was recorded. Survival after treatment was 26.51%, i.e. 22 patients who represented Group 2. Mortality involved 61 patients, 73, 49% postoperatively, representing Group 1. Among the latter, 65.57% had </w:t>
      </w:r>
      <w:r w:rsidRPr="00763397">
        <w:rPr>
          <w:rStyle w:val="Emphasis"/>
          <w:rFonts w:ascii="Times New Roman" w:hAnsi="Times New Roman" w:cs="Times New Roman"/>
          <w:sz w:val="20"/>
          <w:szCs w:val="20"/>
        </w:rPr>
        <w:t>hospital-acquired infection</w:t>
      </w:r>
      <w:r w:rsidRPr="00763397">
        <w:rPr>
          <w:rFonts w:ascii="Times New Roman" w:hAnsi="Times New Roman" w:cs="Times New Roman"/>
          <w:sz w:val="20"/>
          <w:szCs w:val="20"/>
        </w:rPr>
        <w:t xml:space="preserve">, compared to 13.63% in Group 2 (p = 0.027). The multi-resistant bacteria are usually the causative agents, such as klebsiella, yeasts and enteric bacteria. In addition to other biological signs of infection, thrombocytopenia was consistent in all patients and varied in severity. Group 1 showed the highest number of patients with pre-operative respiratory infection (p = 0.039). The mean age at surgery was 3 days in Group 2 and 9 days in Group 1 (p = 0.02). Furthermore, the patients who died postoperatively had more associated malformations (p = 0.003). Table 2 shows the different data studied in </w:t>
      </w:r>
      <w:r w:rsidR="00797C74">
        <w:rPr>
          <w:rFonts w:ascii="Times New Roman" w:hAnsi="Times New Roman" w:cs="Times New Roman"/>
          <w:sz w:val="20"/>
          <w:szCs w:val="20"/>
        </w:rPr>
        <w:t>the two groups.</w:t>
      </w:r>
    </w:p>
    <w:p w:rsidR="00763397" w:rsidRPr="00797C74" w:rsidRDefault="00763397" w:rsidP="00797C74">
      <w:pPr>
        <w:spacing w:after="0" w:line="240" w:lineRule="auto"/>
        <w:jc w:val="center"/>
        <w:rPr>
          <w:rFonts w:ascii="Times New Roman" w:hAnsi="Times New Roman" w:cs="Times New Roman"/>
          <w:b/>
          <w:i/>
          <w:sz w:val="18"/>
          <w:szCs w:val="20"/>
        </w:rPr>
      </w:pPr>
      <w:r w:rsidRPr="00763397">
        <w:rPr>
          <w:rFonts w:ascii="Times New Roman" w:hAnsi="Times New Roman" w:cs="Times New Roman"/>
          <w:sz w:val="20"/>
          <w:szCs w:val="20"/>
        </w:rPr>
        <w:br/>
      </w:r>
      <w:r w:rsidR="00797C74" w:rsidRPr="00797C74">
        <w:rPr>
          <w:rFonts w:ascii="Times New Roman" w:hAnsi="Times New Roman" w:cs="Times New Roman"/>
          <w:b/>
          <w:i/>
          <w:sz w:val="18"/>
          <w:szCs w:val="20"/>
        </w:rPr>
        <w:t>Table 2: Comparing both groups according to the studied parameters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0"/>
        <w:gridCol w:w="2070"/>
        <w:gridCol w:w="2070"/>
        <w:gridCol w:w="1790"/>
      </w:tblGrid>
      <w:tr w:rsidR="00797C74" w:rsidRPr="00797C74" w:rsidTr="00797C74">
        <w:trPr>
          <w:jc w:val="center"/>
        </w:trPr>
        <w:tc>
          <w:tcPr>
            <w:tcW w:w="3420" w:type="dxa"/>
          </w:tcPr>
          <w:p w:rsidR="00797C74" w:rsidRPr="00797C74" w:rsidRDefault="00797C74" w:rsidP="00797C74">
            <w:pPr>
              <w:rPr>
                <w:rFonts w:ascii="Times New Roman" w:hAnsi="Times New Roman"/>
                <w:szCs w:val="28"/>
              </w:rPr>
            </w:pPr>
            <w:r w:rsidRPr="00797C74">
              <w:rPr>
                <w:rFonts w:ascii="Times New Roman" w:hAnsi="Times New Roman"/>
                <w:szCs w:val="28"/>
              </w:rPr>
              <w:t>Parameters</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Group 1 (n = 61)</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Group 2 (n = 22)</w:t>
            </w:r>
          </w:p>
        </w:tc>
        <w:tc>
          <w:tcPr>
            <w:tcW w:w="179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P</w:t>
            </w:r>
          </w:p>
        </w:tc>
      </w:tr>
      <w:tr w:rsidR="00797C74" w:rsidRPr="00797C74" w:rsidTr="00797C74">
        <w:trPr>
          <w:jc w:val="center"/>
        </w:trPr>
        <w:tc>
          <w:tcPr>
            <w:tcW w:w="3420" w:type="dxa"/>
          </w:tcPr>
          <w:p w:rsidR="00797C74" w:rsidRPr="00797C74" w:rsidRDefault="00797C74" w:rsidP="00797C74">
            <w:pPr>
              <w:rPr>
                <w:rFonts w:ascii="Times New Roman" w:hAnsi="Times New Roman"/>
                <w:szCs w:val="28"/>
              </w:rPr>
            </w:pPr>
            <w:r w:rsidRPr="00797C74">
              <w:rPr>
                <w:rFonts w:ascii="Times New Roman" w:hAnsi="Times New Roman"/>
                <w:szCs w:val="28"/>
              </w:rPr>
              <w:t>Preoperative respiratory infection</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57.3%</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31.82%</w:t>
            </w:r>
          </w:p>
        </w:tc>
        <w:tc>
          <w:tcPr>
            <w:tcW w:w="179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0.039</w:t>
            </w:r>
          </w:p>
        </w:tc>
      </w:tr>
      <w:tr w:rsidR="00797C74" w:rsidRPr="00797C74" w:rsidTr="00797C74">
        <w:trPr>
          <w:jc w:val="center"/>
        </w:trPr>
        <w:tc>
          <w:tcPr>
            <w:tcW w:w="3420" w:type="dxa"/>
          </w:tcPr>
          <w:p w:rsidR="00797C74" w:rsidRPr="00797C74" w:rsidRDefault="00797C74" w:rsidP="00797C74">
            <w:pPr>
              <w:rPr>
                <w:rFonts w:ascii="Times New Roman" w:hAnsi="Times New Roman"/>
                <w:szCs w:val="28"/>
              </w:rPr>
            </w:pPr>
            <w:r w:rsidRPr="00797C74">
              <w:rPr>
                <w:rFonts w:ascii="Times New Roman" w:hAnsi="Times New Roman"/>
                <w:szCs w:val="28"/>
              </w:rPr>
              <w:t>Related malformations</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63.93%</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27.27%</w:t>
            </w:r>
          </w:p>
        </w:tc>
        <w:tc>
          <w:tcPr>
            <w:tcW w:w="179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0.003</w:t>
            </w:r>
          </w:p>
        </w:tc>
      </w:tr>
      <w:tr w:rsidR="00797C74" w:rsidRPr="00797C74" w:rsidTr="00797C74">
        <w:trPr>
          <w:jc w:val="center"/>
        </w:trPr>
        <w:tc>
          <w:tcPr>
            <w:tcW w:w="3420" w:type="dxa"/>
          </w:tcPr>
          <w:p w:rsidR="00797C74" w:rsidRPr="00797C74" w:rsidRDefault="00797C74" w:rsidP="00797C74">
            <w:pPr>
              <w:rPr>
                <w:rFonts w:ascii="Times New Roman" w:hAnsi="Times New Roman"/>
                <w:szCs w:val="28"/>
              </w:rPr>
            </w:pPr>
            <w:r w:rsidRPr="00797C74">
              <w:rPr>
                <w:rFonts w:ascii="Times New Roman" w:hAnsi="Times New Roman"/>
                <w:szCs w:val="28"/>
              </w:rPr>
              <w:t>Nosocomial infections</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65.57%</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13.63%</w:t>
            </w:r>
          </w:p>
        </w:tc>
        <w:tc>
          <w:tcPr>
            <w:tcW w:w="179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0.027</w:t>
            </w:r>
          </w:p>
        </w:tc>
      </w:tr>
      <w:tr w:rsidR="00797C74" w:rsidRPr="00797C74" w:rsidTr="00797C74">
        <w:trPr>
          <w:jc w:val="center"/>
        </w:trPr>
        <w:tc>
          <w:tcPr>
            <w:tcW w:w="3420" w:type="dxa"/>
            <w:vMerge w:val="restart"/>
          </w:tcPr>
          <w:p w:rsidR="00797C74" w:rsidRPr="00797C74" w:rsidRDefault="00797C74" w:rsidP="00797C74">
            <w:pPr>
              <w:rPr>
                <w:rFonts w:ascii="Times New Roman" w:hAnsi="Times New Roman"/>
                <w:szCs w:val="28"/>
              </w:rPr>
            </w:pPr>
            <w:r w:rsidRPr="00797C74">
              <w:rPr>
                <w:rFonts w:ascii="Times New Roman" w:hAnsi="Times New Roman"/>
                <w:szCs w:val="28"/>
              </w:rPr>
              <w:sym w:font="Symbol" w:char="F0A3"/>
            </w:r>
            <w:r w:rsidRPr="00797C74">
              <w:rPr>
                <w:rFonts w:ascii="Times New Roman" w:hAnsi="Times New Roman"/>
                <w:szCs w:val="28"/>
              </w:rPr>
              <w:t xml:space="preserve"> 48h </w:t>
            </w:r>
          </w:p>
          <w:p w:rsidR="00797C74" w:rsidRPr="00797C74" w:rsidRDefault="00797C74" w:rsidP="00797C74">
            <w:pPr>
              <w:rPr>
                <w:rFonts w:ascii="Times New Roman" w:hAnsi="Times New Roman"/>
                <w:szCs w:val="28"/>
              </w:rPr>
            </w:pPr>
            <w:r w:rsidRPr="00797C74">
              <w:rPr>
                <w:rFonts w:ascii="Times New Roman" w:hAnsi="Times New Roman"/>
                <w:szCs w:val="28"/>
              </w:rPr>
              <w:t>Age at surgery</w:t>
            </w:r>
            <w:r w:rsidRPr="00797C74">
              <w:rPr>
                <w:rFonts w:ascii="Times New Roman" w:hAnsi="Times New Roman"/>
                <w:szCs w:val="28"/>
              </w:rPr>
              <w:br/>
              <w:t>  </w:t>
            </w:r>
            <w:r w:rsidRPr="00797C74">
              <w:rPr>
                <w:rFonts w:ascii="Times New Roman" w:hAnsi="Times New Roman"/>
                <w:szCs w:val="28"/>
              </w:rPr>
              <w:sym w:font="Symbol" w:char="F03E"/>
            </w:r>
            <w:r w:rsidRPr="00797C74">
              <w:rPr>
                <w:rFonts w:ascii="Times New Roman" w:hAnsi="Times New Roman"/>
                <w:szCs w:val="28"/>
              </w:rPr>
              <w:t xml:space="preserve"> 48h</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36</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19</w:t>
            </w:r>
          </w:p>
        </w:tc>
        <w:tc>
          <w:tcPr>
            <w:tcW w:w="1790" w:type="dxa"/>
            <w:vMerge w:val="restart"/>
          </w:tcPr>
          <w:p w:rsidR="00797C74" w:rsidRPr="00797C74" w:rsidRDefault="00797C74" w:rsidP="00797C74">
            <w:pPr>
              <w:jc w:val="center"/>
              <w:rPr>
                <w:rFonts w:ascii="Times New Roman" w:hAnsi="Times New Roman"/>
                <w:szCs w:val="28"/>
              </w:rPr>
            </w:pPr>
          </w:p>
          <w:p w:rsidR="00797C74" w:rsidRPr="00797C74" w:rsidRDefault="00797C74" w:rsidP="00797C74">
            <w:pPr>
              <w:jc w:val="center"/>
              <w:rPr>
                <w:rFonts w:ascii="Times New Roman" w:hAnsi="Times New Roman"/>
                <w:szCs w:val="28"/>
              </w:rPr>
            </w:pPr>
            <w:r w:rsidRPr="00797C74">
              <w:rPr>
                <w:rFonts w:ascii="Times New Roman" w:hAnsi="Times New Roman"/>
                <w:szCs w:val="28"/>
              </w:rPr>
              <w:t>0.02</w:t>
            </w:r>
          </w:p>
        </w:tc>
      </w:tr>
      <w:tr w:rsidR="00797C74" w:rsidRPr="00797C74" w:rsidTr="00797C74">
        <w:trPr>
          <w:jc w:val="center"/>
        </w:trPr>
        <w:tc>
          <w:tcPr>
            <w:tcW w:w="3420" w:type="dxa"/>
            <w:vMerge/>
          </w:tcPr>
          <w:p w:rsidR="00797C74" w:rsidRPr="00797C74" w:rsidRDefault="00797C74" w:rsidP="00797C74">
            <w:pPr>
              <w:rPr>
                <w:rFonts w:ascii="Times New Roman" w:hAnsi="Times New Roman"/>
                <w:szCs w:val="28"/>
              </w:rPr>
            </w:pP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25</w:t>
            </w:r>
          </w:p>
        </w:tc>
        <w:tc>
          <w:tcPr>
            <w:tcW w:w="2070" w:type="dxa"/>
          </w:tcPr>
          <w:p w:rsidR="00797C74" w:rsidRPr="00797C74" w:rsidRDefault="00797C74" w:rsidP="00797C74">
            <w:pPr>
              <w:jc w:val="center"/>
              <w:rPr>
                <w:rFonts w:ascii="Times New Roman" w:hAnsi="Times New Roman"/>
                <w:szCs w:val="28"/>
              </w:rPr>
            </w:pPr>
            <w:r w:rsidRPr="00797C74">
              <w:rPr>
                <w:rFonts w:ascii="Times New Roman" w:hAnsi="Times New Roman"/>
                <w:szCs w:val="28"/>
              </w:rPr>
              <w:t>3</w:t>
            </w:r>
          </w:p>
        </w:tc>
        <w:tc>
          <w:tcPr>
            <w:tcW w:w="1790" w:type="dxa"/>
            <w:vMerge/>
          </w:tcPr>
          <w:p w:rsidR="00797C74" w:rsidRPr="00797C74" w:rsidRDefault="00797C74" w:rsidP="00797C74">
            <w:pPr>
              <w:jc w:val="center"/>
              <w:rPr>
                <w:rFonts w:ascii="Times New Roman" w:hAnsi="Times New Roman"/>
                <w:szCs w:val="28"/>
              </w:rPr>
            </w:pPr>
          </w:p>
        </w:tc>
      </w:tr>
    </w:tbl>
    <w:p w:rsidR="00797C74" w:rsidRPr="00797C74" w:rsidRDefault="00797C74" w:rsidP="00797C74">
      <w:pPr>
        <w:spacing w:after="0" w:line="240" w:lineRule="auto"/>
        <w:jc w:val="both"/>
        <w:rPr>
          <w:rFonts w:ascii="Times New Roman" w:hAnsi="Times New Roman" w:cs="Times New Roman"/>
          <w:b/>
          <w:sz w:val="20"/>
          <w:szCs w:val="20"/>
        </w:rPr>
      </w:pPr>
    </w:p>
    <w:p w:rsidR="00797C74" w:rsidRDefault="00797C74" w:rsidP="00797C74">
      <w:pPr>
        <w:spacing w:after="0" w:line="240" w:lineRule="auto"/>
        <w:jc w:val="both"/>
        <w:rPr>
          <w:rFonts w:ascii="Times New Roman" w:hAnsi="Times New Roman" w:cs="Times New Roman"/>
          <w:sz w:val="20"/>
          <w:szCs w:val="20"/>
        </w:rPr>
      </w:pPr>
      <w:r w:rsidRPr="00797C74">
        <w:rPr>
          <w:rFonts w:ascii="Times New Roman" w:hAnsi="Times New Roman" w:cs="Times New Roman"/>
          <w:b/>
          <w:sz w:val="24"/>
          <w:szCs w:val="20"/>
        </w:rPr>
        <w:t>Comment</w:t>
      </w:r>
      <w:r w:rsidR="00763397" w:rsidRPr="00763397">
        <w:rPr>
          <w:rFonts w:ascii="Times New Roman" w:hAnsi="Times New Roman" w:cs="Times New Roman"/>
          <w:sz w:val="20"/>
          <w:szCs w:val="20"/>
        </w:rPr>
        <w:br/>
      </w:r>
      <w:r w:rsidRPr="00797C74">
        <w:rPr>
          <w:rFonts w:ascii="Times New Roman" w:hAnsi="Times New Roman" w:cs="Times New Roman"/>
          <w:sz w:val="20"/>
          <w:szCs w:val="20"/>
        </w:rPr>
        <w:t>Esophageal atresia is a congenital anomaly, the frequency of which varies widely according to the series</w:t>
      </w:r>
      <w:r>
        <w:rPr>
          <w:rFonts w:ascii="Times New Roman" w:hAnsi="Times New Roman" w:cs="Times New Roman"/>
          <w:sz w:val="20"/>
          <w:szCs w:val="20"/>
        </w:rPr>
        <w:t>[7, 10,11]</w:t>
      </w:r>
      <w:r w:rsidRPr="00797C74">
        <w:rPr>
          <w:rFonts w:ascii="Times New Roman" w:hAnsi="Times New Roman" w:cs="Times New Roman"/>
          <w:sz w:val="20"/>
          <w:szCs w:val="20"/>
        </w:rPr>
        <w:t>. This frequency is all the lower in Africa given thatthe lack of screening in remote areas is still a fact of life. Nevertheless, we recorded 15.5 cases of esophageal atresia on an annual basis in our study.</w:t>
      </w:r>
    </w:p>
    <w:p w:rsidR="00797C74" w:rsidRPr="00797C74" w:rsidRDefault="00797C74" w:rsidP="00797C74">
      <w:pPr>
        <w:spacing w:after="0" w:line="240" w:lineRule="auto"/>
        <w:jc w:val="both"/>
        <w:rPr>
          <w:rFonts w:ascii="Times New Roman" w:hAnsi="Times New Roman" w:cs="Times New Roman"/>
          <w:sz w:val="20"/>
          <w:szCs w:val="20"/>
        </w:rPr>
      </w:pPr>
    </w:p>
    <w:p w:rsidR="00797C74" w:rsidRDefault="00797C74" w:rsidP="00797C74">
      <w:pPr>
        <w:spacing w:after="0" w:line="240" w:lineRule="auto"/>
        <w:jc w:val="both"/>
        <w:rPr>
          <w:rFonts w:ascii="Times New Roman" w:hAnsi="Times New Roman" w:cs="Times New Roman"/>
          <w:sz w:val="20"/>
          <w:szCs w:val="20"/>
        </w:rPr>
      </w:pPr>
      <w:r w:rsidRPr="00797C74">
        <w:rPr>
          <w:rFonts w:ascii="Times New Roman" w:hAnsi="Times New Roman" w:cs="Times New Roman"/>
          <w:sz w:val="20"/>
          <w:szCs w:val="20"/>
        </w:rPr>
        <w:t xml:space="preserve">In northern countries, the diagnosis of esophageal atresia is often made during the antenatal period, and management is started before the first 24 hours of life </w:t>
      </w:r>
      <w:r>
        <w:rPr>
          <w:rFonts w:ascii="Times New Roman" w:hAnsi="Times New Roman" w:cs="Times New Roman"/>
          <w:sz w:val="20"/>
          <w:szCs w:val="20"/>
        </w:rPr>
        <w:t>[12-14]</w:t>
      </w:r>
      <w:r w:rsidRPr="00797C74">
        <w:rPr>
          <w:rFonts w:ascii="Times New Roman" w:hAnsi="Times New Roman" w:cs="Times New Roman"/>
          <w:sz w:val="20"/>
          <w:szCs w:val="20"/>
        </w:rPr>
        <w:t>. On the other hand, the average age at diagnosis is greater than 3 days in the studies carried out</w:t>
      </w:r>
      <w:r>
        <w:rPr>
          <w:rFonts w:ascii="Times New Roman" w:hAnsi="Times New Roman" w:cs="Times New Roman"/>
          <w:sz w:val="20"/>
          <w:szCs w:val="20"/>
        </w:rPr>
        <w:t xml:space="preserve"> in a context of limited means [8-9]</w:t>
      </w:r>
      <w:r w:rsidRPr="00797C74">
        <w:rPr>
          <w:rFonts w:ascii="Times New Roman" w:hAnsi="Times New Roman" w:cs="Times New Roman"/>
          <w:sz w:val="20"/>
          <w:szCs w:val="20"/>
        </w:rPr>
        <w:t xml:space="preserve">. Our work is no exception, since newborns were admitted when they were 5.16 days old and operated at the age of 8.41 days on average. This median age at surgery was much higher in the group of patients who died (p = 0.02). The Waterson’s system of classification is a good prognostic factor for us. This allows first to treat the lung infections which are very frequent if the diagnosis is made with delay. As part of our series, on the other hand, most patients who died before surgery, were classified as having poor prognosis according to criteria by Waterson. The number of newborns involved in this group is probably underestimated, as some of them could not take a comprehensive malformation assessment. This sometimes incomplete paraclinical assessment may explain the fact that the rate of related malformations is not significant enough between the 2 groups (p = 0.04). Indeed, antenatal diagnosis of esophageal atresia associated with fetal MRI would have allowed acomprehensive malformation assessment and so as to facilitate prognosis for newborns with more certainty </w:t>
      </w:r>
      <w:r>
        <w:rPr>
          <w:rFonts w:ascii="Times New Roman" w:hAnsi="Times New Roman" w:cs="Times New Roman"/>
          <w:sz w:val="20"/>
          <w:szCs w:val="20"/>
        </w:rPr>
        <w:t>[3, 15 , 16].</w:t>
      </w:r>
    </w:p>
    <w:p w:rsidR="00797C74" w:rsidRPr="00797C74" w:rsidRDefault="00797C74" w:rsidP="00797C74">
      <w:pPr>
        <w:spacing w:after="0" w:line="240" w:lineRule="auto"/>
        <w:jc w:val="both"/>
        <w:rPr>
          <w:rFonts w:ascii="Times New Roman" w:hAnsi="Times New Roman" w:cs="Times New Roman"/>
          <w:sz w:val="20"/>
          <w:szCs w:val="20"/>
        </w:rPr>
      </w:pPr>
    </w:p>
    <w:p w:rsidR="00797C74" w:rsidRDefault="00797C74" w:rsidP="00797C74">
      <w:pPr>
        <w:spacing w:after="0" w:line="240" w:lineRule="auto"/>
        <w:jc w:val="both"/>
        <w:rPr>
          <w:rFonts w:ascii="Times New Roman" w:hAnsi="Times New Roman" w:cs="Times New Roman"/>
          <w:sz w:val="20"/>
          <w:szCs w:val="20"/>
        </w:rPr>
      </w:pPr>
      <w:r w:rsidRPr="00797C74">
        <w:rPr>
          <w:rFonts w:ascii="Times New Roman" w:hAnsi="Times New Roman" w:cs="Times New Roman"/>
          <w:sz w:val="20"/>
          <w:szCs w:val="20"/>
        </w:rPr>
        <w:t xml:space="preserve">Postoperative morbidity was mainly related to nosocomial infections, 21, 68%, pulmonary effusions, 18.07%, and anastomotic fistulas, 06.02%. Anastomotic stenosis was involved in 8 patients, or 36.36% of them. Its development was favorable following several dilatation sessions after an average follow-up of 22.3 months. These results are consistent with data from the literature </w:t>
      </w:r>
      <w:r>
        <w:rPr>
          <w:rFonts w:ascii="Times New Roman" w:hAnsi="Times New Roman" w:cs="Times New Roman"/>
          <w:sz w:val="20"/>
          <w:szCs w:val="20"/>
        </w:rPr>
        <w:t>[17-21]</w:t>
      </w:r>
      <w:r w:rsidRPr="00797C74">
        <w:rPr>
          <w:rFonts w:ascii="Times New Roman" w:hAnsi="Times New Roman" w:cs="Times New Roman"/>
          <w:sz w:val="20"/>
          <w:szCs w:val="20"/>
        </w:rPr>
        <w:t>. The rate of nosocomial infections is significantly hi</w:t>
      </w:r>
      <w:r>
        <w:rPr>
          <w:rFonts w:ascii="Times New Roman" w:hAnsi="Times New Roman" w:cs="Times New Roman"/>
          <w:sz w:val="20"/>
          <w:szCs w:val="20"/>
        </w:rPr>
        <w:t>gher than in the other studies [11,22]</w:t>
      </w:r>
      <w:r w:rsidRPr="00797C74">
        <w:rPr>
          <w:rFonts w:ascii="Times New Roman" w:hAnsi="Times New Roman" w:cs="Times New Roman"/>
          <w:sz w:val="20"/>
          <w:szCs w:val="20"/>
        </w:rPr>
        <w:t xml:space="preserve">. Indeed, the lack of a resuscitation unit exclusively reserved for neonatology, delayed diagnosis without any possible parenteral nutrition, slowness in the performance of paraclinic examination are all factors that favor the occurrence and aggravation of infections. The latter statistically impact on the risk of occurrence of death whether pre or post-operative (p = 0.027). This mortality rate related to esophageal atresia varies greatly depending on the series. In our study, the survival rate of 26.51% is higher than the findings in the other sub-Saharan Africa studies </w:t>
      </w:r>
      <w:r>
        <w:rPr>
          <w:rFonts w:ascii="Times New Roman" w:hAnsi="Times New Roman" w:cs="Times New Roman"/>
          <w:sz w:val="20"/>
          <w:szCs w:val="20"/>
        </w:rPr>
        <w:t>[7-8]</w:t>
      </w:r>
      <w:r w:rsidRPr="00797C74">
        <w:rPr>
          <w:rFonts w:ascii="Times New Roman" w:hAnsi="Times New Roman" w:cs="Times New Roman"/>
          <w:sz w:val="20"/>
          <w:szCs w:val="20"/>
        </w:rPr>
        <w:t>.</w:t>
      </w:r>
    </w:p>
    <w:p w:rsidR="00797C74" w:rsidRPr="00797C74" w:rsidRDefault="00797C74" w:rsidP="00797C74">
      <w:pPr>
        <w:spacing w:after="0" w:line="240" w:lineRule="auto"/>
        <w:jc w:val="both"/>
        <w:rPr>
          <w:rFonts w:ascii="Times New Roman" w:hAnsi="Times New Roman" w:cs="Times New Roman"/>
          <w:sz w:val="20"/>
          <w:szCs w:val="20"/>
        </w:rPr>
      </w:pPr>
    </w:p>
    <w:p w:rsidR="00763397" w:rsidRDefault="00797C74" w:rsidP="00797C74">
      <w:pPr>
        <w:spacing w:after="0" w:line="240" w:lineRule="auto"/>
        <w:jc w:val="both"/>
        <w:rPr>
          <w:rFonts w:ascii="Times New Roman" w:hAnsi="Times New Roman" w:cs="Times New Roman"/>
          <w:sz w:val="20"/>
          <w:szCs w:val="20"/>
        </w:rPr>
      </w:pPr>
      <w:r w:rsidRPr="00797C74">
        <w:rPr>
          <w:rFonts w:ascii="Times New Roman" w:hAnsi="Times New Roman" w:cs="Times New Roman"/>
          <w:sz w:val="20"/>
          <w:szCs w:val="20"/>
        </w:rPr>
        <w:t>In addition, there was little statistically significant variation between the 2 groups regarding associated malformations. This is probably related to the fact that investigatingrelated abnormalities is restricted to the useof thoraco-abdominal imaging and the heart ultrasound, and this was not performed in 08.6% of the newborns.</w:t>
      </w:r>
    </w:p>
    <w:p w:rsidR="00797C74" w:rsidRPr="00763397" w:rsidRDefault="00797C74" w:rsidP="00797C74">
      <w:pPr>
        <w:spacing w:after="0" w:line="240" w:lineRule="auto"/>
        <w:jc w:val="both"/>
        <w:rPr>
          <w:rFonts w:ascii="Times New Roman" w:hAnsi="Times New Roman" w:cs="Times New Roman"/>
          <w:sz w:val="20"/>
          <w:szCs w:val="20"/>
        </w:rPr>
      </w:pPr>
    </w:p>
    <w:p w:rsidR="00FB3F95" w:rsidRPr="00763397" w:rsidRDefault="00797C74" w:rsidP="00797C7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797C74">
        <w:rPr>
          <w:rFonts w:ascii="Times New Roman" w:hAnsi="Times New Roman" w:cs="Times New Roman"/>
          <w:b/>
          <w:sz w:val="24"/>
          <w:szCs w:val="20"/>
        </w:rPr>
        <w:t>Conclusion</w:t>
      </w:r>
      <w:r w:rsidR="00763397" w:rsidRPr="00763397">
        <w:rPr>
          <w:rFonts w:ascii="Times New Roman" w:hAnsi="Times New Roman" w:cs="Times New Roman"/>
          <w:sz w:val="20"/>
          <w:szCs w:val="20"/>
        </w:rPr>
        <w:br/>
        <w:t>Morbidity, and especially mortality associated with esophageal atresia are still very high inill-equipped facilities.In addition, they are mainly related to delayed management, associated malformations and nosocomial infections. Better results requires early diagnosis and management, together with an improved neonatal surgical environment.</w:t>
      </w:r>
    </w:p>
    <w:p w:rsidR="00FB3F95" w:rsidRPr="00763397" w:rsidRDefault="00FB3F95" w:rsidP="00797C7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9A25A6" w:rsidRPr="00763397" w:rsidRDefault="00FB3F95" w:rsidP="00797C74">
      <w:pPr>
        <w:spacing w:after="0" w:line="240" w:lineRule="auto"/>
        <w:rPr>
          <w:rFonts w:ascii="Times New Roman" w:hAnsi="Times New Roman" w:cs="Times New Roman"/>
          <w:b/>
          <w:bCs/>
          <w:color w:val="000000" w:themeColor="text1"/>
          <w:sz w:val="24"/>
          <w:szCs w:val="24"/>
        </w:rPr>
      </w:pPr>
      <w:r w:rsidRPr="00763397">
        <w:rPr>
          <w:rFonts w:ascii="Times New Roman" w:hAnsi="Times New Roman" w:cs="Times New Roman"/>
          <w:b/>
          <w:color w:val="000000" w:themeColor="text1"/>
          <w:sz w:val="24"/>
          <w:szCs w:val="24"/>
        </w:rPr>
        <w:t>References</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xml:space="preserve">J. Lirussi Borgnon, E. Sapin. Anomalies congénitales de l’œsophage. EMC- Pédiatrie-Maladies infectieuses 2011 ; 1(20) </w:t>
      </w:r>
      <w:r w:rsidRPr="00763397">
        <w:rPr>
          <w:rFonts w:ascii="Times New Roman" w:eastAsia="PMingLiU" w:hAnsi="Times New Roman" w:cs="Times New Roman"/>
          <w:sz w:val="20"/>
          <w:szCs w:val="20"/>
        </w:rPr>
        <w:t>4-017-A-10</w:t>
      </w:r>
      <w:r w:rsidRPr="00763397">
        <w:rPr>
          <w:rFonts w:ascii="Times New Roman" w:eastAsia="PMingLiU" w:hAnsi="Times New Roman" w:cs="Times New Roman"/>
          <w:sz w:val="20"/>
          <w:szCs w:val="20"/>
        </w:rPr>
        <w:t></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Randolph J.D. Esophageal atresia and congenital stenosis Pediatric surgery Chicago: Year Book Medical Publishers 1986 : 682-695</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Garabedian, P. Vaast, J ; Bigot, R. Sfeir, L. Michaud, F. Gottrand, P. Verpillat,et al. Atrésies de l’œsophage : prévalence, diagnostic anténatal et pronostic  J Obstet Gynecol  Biol Reprod 2013 ; 43(6) : 424-430</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Konkin D.E., O’hali W.A., Webber E.M., Blair G.K. Outcomes in esophageal atresia and tracheoesophageal fistula J Pediatr Surg 2003 ;  38 : 1726-1729</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Lilja H.E., Wester T. Outcome in neonates with esophageal atresia treated over the last 20 years Pediatr Surg Int 2008 ;  24 : 531-536</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Gottrand F, Sfeir R, Thumerelle C Michaud L. Atrésie de l’œsophage : devenir à moyen et long terme. Arch Pediatr 2012 ; 19(9) : 932-938</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xml:space="preserve">Bandré E, Niandolo KA, Wandaogo A, Bankolé R, Mobiot ML. </w:t>
      </w:r>
      <w:r w:rsidRPr="00763397">
        <w:rPr>
          <w:rFonts w:ascii="MS Mincho" w:eastAsia="MS Mincho" w:hAnsi="MS Mincho" w:cs="MS Mincho" w:hint="eastAsia"/>
          <w:sz w:val="20"/>
          <w:szCs w:val="20"/>
        </w:rPr>
        <w:t> </w:t>
      </w:r>
      <w:r w:rsidRPr="00763397">
        <w:rPr>
          <w:rFonts w:ascii="Times New Roman" w:eastAsia="PMingLiU" w:hAnsi="Times New Roman" w:cs="Times New Roman"/>
          <w:sz w:val="20"/>
          <w:szCs w:val="20"/>
        </w:rPr>
        <w:t xml:space="preserve">Oesophageal atresia: Management in Sub Saharian countries. Arch </w:t>
      </w:r>
      <w:r w:rsidRPr="00763397">
        <w:rPr>
          <w:rFonts w:ascii="MS Mincho" w:eastAsia="MS Mincho" w:hAnsi="MS Mincho" w:cs="MS Mincho" w:hint="eastAsia"/>
          <w:sz w:val="20"/>
          <w:szCs w:val="20"/>
        </w:rPr>
        <w:t> </w:t>
      </w:r>
      <w:r w:rsidRPr="00763397">
        <w:rPr>
          <w:rFonts w:ascii="Times New Roman" w:eastAsia="PMingLiU" w:hAnsi="Times New Roman" w:cs="Times New Roman"/>
          <w:sz w:val="20"/>
          <w:szCs w:val="20"/>
        </w:rPr>
        <w:t xml:space="preserve">Pediatr 2010; 17:300-301 </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FF Mouafo Tambo,  B Ngo Nonga, OG Andze,  A Chiabi,  J ZE, Minkande,et al. Problématique de la prise en charge de l’atrésie de l’œsophage en pays sous médicalisés. Mali Médical 2010 ; 25(4) : 36-38</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Mbaye Fall, Papa Alassane Mbaye, Haingonirina Joelle Horace, Ibrahima Bocar Wellé, Faty Balla Lo, Mamadou Mour Traore,et al. Oesophageal atresia: Diagnosis and prognosis in Dakar, Senegal  Afr J Paediatr Surg 2015 ; 12(3) : 187-190</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xml:space="preserve">Alabbad .S, Ryckman.J, Puligandla.P M , Shaw.K, Nguyen.L T, Laberge.J M. Use of transanastomotic feeding tubes during esophageal atresia repair. J Pediatr Surg 2009 ; 44 : 902–905 </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Tandon R K, Sharma S, Sinha S K, Abdul Rashid K, Dube R, Kureel SN,et al. Esophageal atresia: Factors infl uencing survival - Experience at an Indian tertiary centre. J Indian Assoc Pediatr Surg 2008 ; 13(1) : 2-6</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xml:space="preserve">Spitz L. Oesophageal atresia Orphanet J Rare Dis 2007 ;  2 : 24  </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xml:space="preserve">Sparey C., Robson S.C. Oesophageal atresia Prenat Diagn 2000 ;  20 : 251-253 </w:t>
      </w:r>
      <w:r>
        <w:rPr>
          <w:rFonts w:ascii="Times New Roman" w:eastAsia="PMingLiU" w:hAnsi="Times New Roman" w:cs="Times New Roman"/>
          <w:sz w:val="20"/>
          <w:szCs w:val="20"/>
        </w:rPr>
        <w:t xml:space="preserve"> </w:t>
      </w:r>
      <w:r w:rsidRPr="00763397">
        <w:rPr>
          <w:rFonts w:ascii="Times New Roman" w:eastAsia="PMingLiU" w:hAnsi="Times New Roman" w:cs="Times New Roman"/>
          <w:sz w:val="20"/>
          <w:szCs w:val="20"/>
        </w:rPr>
        <w:t>Sparey C., Robson S.C. Oesophageal atresia Prenat Diagn 2000 ;  20 : 251-253</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J.-E. Develay-Morice, G. Rathat, M. Duyme, M. Hoffet, C. Fredouille, A. Couture, et al. Échographie de l'oesophage foetal : aspect physiologique et application au dépistage anténatal d'une atrésie oesophagienne J Gyneco Obstet 2007 ; 35(3) : 249-257</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Brantberg A., Blaas H.G.K., Haugen S.E., Eik-Nes S.H. Esophageal obstruction-prenatal detection rate and outcome Ultrasound Obstet Gynecol 2007 ;  30 : 180-187</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Sparey C., Jawaheer G., Barrett A.M., Robson S.C. Esophageal atresia in the Northern Region Congenital Anomaly Survey, 1985–1997: prenatal diagnosis and outcome Am J Obstet Gynecol 2000 ;  182 : 427-431</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L.  Michaud,  D.  Guimber,  R.  Sfeir,  T.  Rakza,  H.  Bajja,  M.  Bonnevalle, et al. . Sténose anastomotique après traitement chirurgical de l’atrésie de l’œsophage : fréquence, facteurs de risque et efficacité des dilatations oesophagiennes. Arch Pediatr 2001 ; 8(3) : 268-274</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 xml:space="preserve">Tsai J.Y., Berkery L., Wesson D.E., Redo S.F., Spigland N.A. Esophageal atresia and tracheoesophageal fistula : surgical experience over two decades. Ann Thorac Surg 1997 ; 16 : 778-783 </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Chittmittrapap S., Spitz L., Kliely M.E., Brereton R.J. Anastomotic stricture following repair of esophageal atresia. J Pediatr Surg 1990 ; 182 : 508-511</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Huet F., Mougenot J.F., Saleh T., Vannerom Y. Les dilatations oesophagiennes en pédiatrie : étude de 33 patients. Arch Pédiatr 1995 ; 209 : 423-430</w:t>
      </w:r>
    </w:p>
    <w:p w:rsidR="00763397"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eastAsia="PMingLiU" w:hAnsi="Times New Roman" w:cs="Times New Roman"/>
          <w:sz w:val="20"/>
          <w:szCs w:val="20"/>
        </w:rPr>
      </w:pPr>
      <w:r w:rsidRPr="00763397">
        <w:rPr>
          <w:rFonts w:ascii="Times New Roman" w:eastAsia="PMingLiU" w:hAnsi="Times New Roman" w:cs="Times New Roman"/>
          <w:sz w:val="20"/>
          <w:szCs w:val="20"/>
        </w:rPr>
        <w:t>Johnsen A., Jensen L.I., Mauritzen K. Balloon-dilatation of esophageal strictures in children. Pediatr Radiol 1986 ; 68 : 388-391</w:t>
      </w:r>
    </w:p>
    <w:p w:rsidR="00FB3F95" w:rsidRPr="00763397" w:rsidRDefault="00763397" w:rsidP="00797C74">
      <w:pPr>
        <w:widowControl w:val="0"/>
        <w:numPr>
          <w:ilvl w:val="0"/>
          <w:numId w:val="3"/>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763397">
        <w:rPr>
          <w:rFonts w:ascii="Times New Roman" w:eastAsia="PMingLiU" w:hAnsi="Times New Roman" w:cs="Times New Roman"/>
          <w:sz w:val="20"/>
          <w:szCs w:val="20"/>
        </w:rPr>
        <w:t>Alshehri.A., Lo.A., Baird.R. An analysis of early nonmortality outcome prediction in esophageal atresia. JPediatr Surg 2012 ;47 : 881–884</w:t>
      </w:r>
    </w:p>
    <w:p w:rsidR="00FB3F95" w:rsidRPr="00763397" w:rsidRDefault="00FB3F95" w:rsidP="00797C74">
      <w:pPr>
        <w:widowControl w:val="0"/>
        <w:overflowPunct w:val="0"/>
        <w:autoSpaceDE w:val="0"/>
        <w:autoSpaceDN w:val="0"/>
        <w:adjustRightInd w:val="0"/>
        <w:spacing w:after="0" w:line="240" w:lineRule="auto"/>
        <w:ind w:left="360"/>
        <w:jc w:val="both"/>
        <w:rPr>
          <w:rFonts w:ascii="Times New Roman" w:hAnsi="Times New Roman" w:cs="Times New Roman"/>
          <w:i/>
          <w:sz w:val="20"/>
          <w:szCs w:val="20"/>
        </w:rPr>
      </w:pPr>
    </w:p>
    <w:sectPr w:rsidR="00FB3F95" w:rsidRPr="00763397" w:rsidSect="00A27FE5">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0DEA" w:rsidRDefault="00830DEA" w:rsidP="00670B7E">
      <w:pPr>
        <w:spacing w:after="0" w:line="240" w:lineRule="auto"/>
      </w:pPr>
      <w:r>
        <w:separator/>
      </w:r>
    </w:p>
  </w:endnote>
  <w:endnote w:type="continuationSeparator" w:id="0">
    <w:p w:rsidR="00830DEA" w:rsidRDefault="00830DEA" w:rsidP="00670B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950" w:rsidRDefault="003B695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7C7B" w:rsidRDefault="00DB7C7B" w:rsidP="00DB7C7B">
    <w:pPr>
      <w:pStyle w:val="Footer"/>
      <w:rPr>
        <w:noProof/>
        <w:color w:val="E36C0A" w:themeColor="accent6" w:themeShade="BF"/>
        <w:sz w:val="18"/>
        <w:szCs w:val="18"/>
      </w:rPr>
    </w:pPr>
    <w:r w:rsidRPr="00144E15">
      <w:rPr>
        <w:noProof/>
        <w:color w:val="E36C0A" w:themeColor="accent6" w:themeShade="BF"/>
        <w:sz w:val="18"/>
        <w:szCs w:val="18"/>
      </w:rPr>
      <w:t>© I</w:t>
    </w:r>
    <w:r w:rsidRPr="00144E15">
      <w:rPr>
        <w:noProof/>
        <w:color w:val="595959" w:themeColor="text1" w:themeTint="A6"/>
        <w:sz w:val="18"/>
        <w:szCs w:val="18"/>
      </w:rPr>
      <w:t xml:space="preserve">ndian </w:t>
    </w:r>
    <w:r w:rsidRPr="00144E15">
      <w:rPr>
        <w:noProof/>
        <w:color w:val="E36C0A" w:themeColor="accent6" w:themeShade="BF"/>
        <w:sz w:val="18"/>
        <w:szCs w:val="18"/>
      </w:rPr>
      <w:t>J</w:t>
    </w:r>
    <w:r w:rsidRPr="00144E15">
      <w:rPr>
        <w:noProof/>
        <w:color w:val="595959" w:themeColor="text1" w:themeTint="A6"/>
        <w:sz w:val="18"/>
        <w:szCs w:val="18"/>
      </w:rPr>
      <w:t xml:space="preserve">ournal of </w:t>
    </w:r>
    <w:r w:rsidRPr="00144E15">
      <w:rPr>
        <w:noProof/>
        <w:color w:val="E36C0A" w:themeColor="accent6" w:themeShade="BF"/>
        <w:sz w:val="18"/>
        <w:szCs w:val="18"/>
      </w:rPr>
      <w:t>M</w:t>
    </w:r>
    <w:r w:rsidRPr="00144E15">
      <w:rPr>
        <w:noProof/>
        <w:color w:val="595959" w:themeColor="text1" w:themeTint="A6"/>
        <w:sz w:val="18"/>
        <w:szCs w:val="18"/>
      </w:rPr>
      <w:t xml:space="preserve">edical </w:t>
    </w:r>
    <w:r w:rsidRPr="00144E15">
      <w:rPr>
        <w:noProof/>
        <w:color w:val="E36C0A" w:themeColor="accent6" w:themeShade="BF"/>
        <w:sz w:val="18"/>
        <w:szCs w:val="18"/>
      </w:rPr>
      <w:t>R</w:t>
    </w:r>
    <w:r w:rsidRPr="00144E15">
      <w:rPr>
        <w:noProof/>
        <w:color w:val="595959" w:themeColor="text1" w:themeTint="A6"/>
        <w:sz w:val="18"/>
        <w:szCs w:val="18"/>
      </w:rPr>
      <w:t xml:space="preserve">esearch and </w:t>
    </w:r>
    <w:r w:rsidRPr="00144E15">
      <w:rPr>
        <w:noProof/>
        <w:color w:val="E36C0A" w:themeColor="accent6" w:themeShade="BF"/>
        <w:sz w:val="18"/>
        <w:szCs w:val="18"/>
      </w:rPr>
      <w:t>P</w:t>
    </w:r>
    <w:r w:rsidRPr="00144E15">
      <w:rPr>
        <w:noProof/>
        <w:color w:val="595959" w:themeColor="text1" w:themeTint="A6"/>
        <w:sz w:val="18"/>
        <w:szCs w:val="18"/>
      </w:rPr>
      <w:t xml:space="preserve">harmaceutical </w:t>
    </w:r>
    <w:r w:rsidRPr="00144E15">
      <w:rPr>
        <w:noProof/>
        <w:color w:val="E36C0A" w:themeColor="accent6" w:themeShade="BF"/>
        <w:sz w:val="18"/>
        <w:szCs w:val="18"/>
      </w:rPr>
      <w:t>S</w:t>
    </w:r>
    <w:r w:rsidRPr="00144E15">
      <w:rPr>
        <w:noProof/>
        <w:color w:val="595959" w:themeColor="text1" w:themeTint="A6"/>
        <w:sz w:val="18"/>
        <w:szCs w:val="18"/>
      </w:rPr>
      <w:t xml:space="preserve">ciences            </w:t>
    </w:r>
    <w:r>
      <w:rPr>
        <w:noProof/>
        <w:color w:val="595959" w:themeColor="text1" w:themeTint="A6"/>
        <w:sz w:val="18"/>
        <w:szCs w:val="18"/>
      </w:rPr>
      <w:tab/>
    </w:r>
    <w:hyperlink r:id="rId1" w:history="1">
      <w:r w:rsidRPr="00B80220">
        <w:rPr>
          <w:rStyle w:val="Hyperlink"/>
          <w:noProof/>
          <w:sz w:val="18"/>
          <w:szCs w:val="18"/>
        </w:rPr>
        <w:t>http://www.ijmprs.com/</w:t>
      </w:r>
    </w:hyperlink>
  </w:p>
  <w:p w:rsidR="00DB7C7B" w:rsidRPr="00DB7C7B" w:rsidRDefault="00DB7C7B" w:rsidP="00DB7C7B">
    <w:pPr>
      <w:pStyle w:val="Footer"/>
      <w:jc w:val="right"/>
      <w:rPr>
        <w:color w:val="F79646" w:themeColor="accent6"/>
      </w:rPr>
    </w:pPr>
    <w:r w:rsidRPr="00DB7C7B">
      <w:rPr>
        <w:color w:val="F79646" w:themeColor="accent6"/>
      </w:rPr>
      <w:t xml:space="preserve"> [</w:t>
    </w:r>
    <w:sdt>
      <w:sdtPr>
        <w:rPr>
          <w:color w:val="F79646" w:themeColor="accent6"/>
        </w:rPr>
        <w:id w:val="-236321721"/>
        <w:docPartObj>
          <w:docPartGallery w:val="Page Numbers (Bottom of Page)"/>
          <w:docPartUnique/>
        </w:docPartObj>
      </w:sdtPr>
      <w:sdtEndPr>
        <w:rPr>
          <w:noProof/>
        </w:rPr>
      </w:sdtEndPr>
      <w:sdtContent>
        <w:r w:rsidR="00A34CF9" w:rsidRPr="00DB7C7B">
          <w:rPr>
            <w:color w:val="F79646" w:themeColor="accent6"/>
          </w:rPr>
          <w:fldChar w:fldCharType="begin"/>
        </w:r>
        <w:r w:rsidRPr="00DB7C7B">
          <w:rPr>
            <w:color w:val="F79646" w:themeColor="accent6"/>
          </w:rPr>
          <w:instrText xml:space="preserve"> PAGE   \* MERGEFORMAT </w:instrText>
        </w:r>
        <w:r w:rsidR="00A34CF9" w:rsidRPr="00DB7C7B">
          <w:rPr>
            <w:color w:val="F79646" w:themeColor="accent6"/>
          </w:rPr>
          <w:fldChar w:fldCharType="separate"/>
        </w:r>
        <w:r w:rsidR="00830DEA">
          <w:rPr>
            <w:noProof/>
            <w:color w:val="F79646" w:themeColor="accent6"/>
          </w:rPr>
          <w:t>1</w:t>
        </w:r>
        <w:r w:rsidR="00A34CF9" w:rsidRPr="00DB7C7B">
          <w:rPr>
            <w:noProof/>
            <w:color w:val="F79646" w:themeColor="accent6"/>
          </w:rPr>
          <w:fldChar w:fldCharType="end"/>
        </w:r>
        <w:r w:rsidRPr="00DB7C7B">
          <w:rPr>
            <w:noProof/>
            <w:color w:val="F79646" w:themeColor="accent6"/>
          </w:rPr>
          <w:t>]</w:t>
        </w:r>
      </w:sdtContent>
    </w:sdt>
  </w:p>
  <w:p w:rsidR="00415C0C" w:rsidRPr="00DB7C7B" w:rsidRDefault="00415C0C" w:rsidP="00DB7C7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950" w:rsidRDefault="003B695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0DEA" w:rsidRDefault="00830DEA" w:rsidP="00670B7E">
      <w:pPr>
        <w:spacing w:after="0" w:line="240" w:lineRule="auto"/>
      </w:pPr>
      <w:r>
        <w:separator/>
      </w:r>
    </w:p>
  </w:footnote>
  <w:footnote w:type="continuationSeparator" w:id="0">
    <w:p w:rsidR="00830DEA" w:rsidRDefault="00830DEA" w:rsidP="00670B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0771" w:rsidRDefault="00830DE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5733" o:spid="_x0000_s2059" type="#_x0000_t136" style="position:absolute;margin-left:0;margin-top:0;width:532.95pt;height:228.4pt;rotation:315;z-index:-251649024;mso-position-horizontal:center;mso-position-horizontal-relative:margin;mso-position-vertical:center;mso-position-vertical-relative:margin" o:allowincell="f" fillcolor="#e36c0a [2409]" stroked="f">
          <v:fill opacity=".5"/>
          <v:textpath style="font-family:&quot;Calibri&quot;;font-size:1pt" string="IJMRPS"/>
          <w10:wrap anchorx="margin" anchory="margin"/>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0;margin-top:0;width:467.9pt;height:467.9pt;z-index:-251653120;mso-position-horizontal:center;mso-position-horizontal-relative:margin;mso-position-vertical:center;mso-position-vertical-relative:margin" o:allowincell="f">
          <v:imagedata r:id="rId1" o:title="add_256"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32D3" w:rsidRDefault="003F32D3" w:rsidP="003F32D3">
    <w:pPr>
      <w:pStyle w:val="Header"/>
      <w:rPr>
        <w:noProof/>
        <w:color w:val="E36C0A" w:themeColor="accent6" w:themeShade="BF"/>
        <w:sz w:val="32"/>
        <w:szCs w:val="32"/>
      </w:rPr>
    </w:pPr>
    <w:r w:rsidRPr="003F32D3">
      <w:rPr>
        <w:noProof/>
        <w:color w:val="595959" w:themeColor="text1" w:themeTint="A6"/>
        <w:sz w:val="18"/>
        <w:szCs w:val="18"/>
      </w:rPr>
      <w:t>Open Access Journal</w:t>
    </w:r>
  </w:p>
  <w:p w:rsidR="00C65109" w:rsidRDefault="00B27420" w:rsidP="003F32D3">
    <w:pPr>
      <w:pStyle w:val="Header"/>
      <w:jc w:val="center"/>
      <w:rPr>
        <w:noProof/>
        <w:color w:val="595959" w:themeColor="text1" w:themeTint="A6"/>
        <w:sz w:val="32"/>
        <w:szCs w:val="32"/>
      </w:rPr>
    </w:pPr>
    <w:r w:rsidRPr="00BC5D0F">
      <w:rPr>
        <w:noProof/>
        <w:color w:val="E36C0A" w:themeColor="accent6" w:themeShade="BF"/>
        <w:sz w:val="40"/>
        <w:szCs w:val="40"/>
      </w:rPr>
      <w:t>I</w:t>
    </w:r>
    <w:r w:rsidRPr="003F32D3">
      <w:rPr>
        <w:noProof/>
        <w:color w:val="595959" w:themeColor="text1" w:themeTint="A6"/>
        <w:sz w:val="32"/>
        <w:szCs w:val="32"/>
      </w:rPr>
      <w:t xml:space="preserve">ndian </w:t>
    </w:r>
    <w:r w:rsidRPr="00BC5D0F">
      <w:rPr>
        <w:noProof/>
        <w:color w:val="E36C0A" w:themeColor="accent6" w:themeShade="BF"/>
        <w:sz w:val="40"/>
        <w:szCs w:val="40"/>
      </w:rPr>
      <w:t>J</w:t>
    </w:r>
    <w:r w:rsidRPr="003F32D3">
      <w:rPr>
        <w:noProof/>
        <w:color w:val="595959" w:themeColor="text1" w:themeTint="A6"/>
        <w:sz w:val="32"/>
        <w:szCs w:val="32"/>
      </w:rPr>
      <w:t xml:space="preserve">ournal of </w:t>
    </w:r>
    <w:r w:rsidRPr="00BC5D0F">
      <w:rPr>
        <w:noProof/>
        <w:color w:val="E36C0A" w:themeColor="accent6" w:themeShade="BF"/>
        <w:sz w:val="40"/>
        <w:szCs w:val="40"/>
      </w:rPr>
      <w:t>M</w:t>
    </w:r>
    <w:r w:rsidRPr="003F32D3">
      <w:rPr>
        <w:noProof/>
        <w:color w:val="595959" w:themeColor="text1" w:themeTint="A6"/>
        <w:sz w:val="32"/>
        <w:szCs w:val="32"/>
      </w:rPr>
      <w:t xml:space="preserve">edical </w:t>
    </w:r>
    <w:r w:rsidRPr="00BC5D0F">
      <w:rPr>
        <w:noProof/>
        <w:color w:val="E36C0A" w:themeColor="accent6" w:themeShade="BF"/>
        <w:sz w:val="40"/>
        <w:szCs w:val="40"/>
      </w:rPr>
      <w:t>R</w:t>
    </w:r>
    <w:r w:rsidRPr="003F32D3">
      <w:rPr>
        <w:noProof/>
        <w:color w:val="595959" w:themeColor="text1" w:themeTint="A6"/>
        <w:sz w:val="32"/>
        <w:szCs w:val="32"/>
      </w:rPr>
      <w:t xml:space="preserve">esearch and </w:t>
    </w:r>
    <w:r w:rsidRPr="00BC5D0F">
      <w:rPr>
        <w:noProof/>
        <w:color w:val="E36C0A" w:themeColor="accent6" w:themeShade="BF"/>
        <w:sz w:val="40"/>
        <w:szCs w:val="40"/>
      </w:rPr>
      <w:t>P</w:t>
    </w:r>
    <w:r w:rsidRPr="003F32D3">
      <w:rPr>
        <w:noProof/>
        <w:color w:val="595959" w:themeColor="text1" w:themeTint="A6"/>
        <w:sz w:val="32"/>
        <w:szCs w:val="32"/>
      </w:rPr>
      <w:t xml:space="preserve">harmaceutical </w:t>
    </w:r>
    <w:r w:rsidRPr="00BC5D0F">
      <w:rPr>
        <w:noProof/>
        <w:color w:val="E36C0A" w:themeColor="accent6" w:themeShade="BF"/>
        <w:sz w:val="40"/>
        <w:szCs w:val="40"/>
      </w:rPr>
      <w:t>S</w:t>
    </w:r>
    <w:r w:rsidRPr="003F32D3">
      <w:rPr>
        <w:noProof/>
        <w:color w:val="595959" w:themeColor="text1" w:themeTint="A6"/>
        <w:sz w:val="32"/>
        <w:szCs w:val="32"/>
      </w:rPr>
      <w:t>ciences</w:t>
    </w:r>
  </w:p>
  <w:p w:rsidR="003F32D3" w:rsidRDefault="00BC5D0F" w:rsidP="003F32D3">
    <w:pPr>
      <w:pStyle w:val="Header"/>
      <w:pBdr>
        <w:bottom w:val="dotDash" w:sz="12" w:space="1" w:color="F79646" w:themeColor="accent6"/>
      </w:pBdr>
      <w:rPr>
        <w:noProof/>
        <w:color w:val="595959" w:themeColor="text1" w:themeTint="A6"/>
        <w:sz w:val="24"/>
        <w:szCs w:val="24"/>
      </w:rPr>
    </w:pPr>
    <w:r w:rsidRPr="00557C6B">
      <w:rPr>
        <w:noProof/>
        <w:color w:val="595959" w:themeColor="text1" w:themeTint="A6"/>
        <w:sz w:val="24"/>
        <w:szCs w:val="24"/>
      </w:rPr>
      <w:t>M</w:t>
    </w:r>
    <w:r w:rsidR="00763397">
      <w:rPr>
        <w:noProof/>
        <w:color w:val="595959" w:themeColor="text1" w:themeTint="A6"/>
        <w:sz w:val="24"/>
        <w:szCs w:val="24"/>
      </w:rPr>
      <w:t>ay</w:t>
    </w:r>
    <w:r w:rsidRPr="00557C6B">
      <w:rPr>
        <w:noProof/>
        <w:color w:val="595959" w:themeColor="text1" w:themeTint="A6"/>
        <w:sz w:val="24"/>
        <w:szCs w:val="24"/>
      </w:rPr>
      <w:t xml:space="preserve"> </w:t>
    </w:r>
    <w:r w:rsidR="00763397">
      <w:rPr>
        <w:noProof/>
        <w:color w:val="595959" w:themeColor="text1" w:themeTint="A6"/>
        <w:sz w:val="24"/>
        <w:szCs w:val="24"/>
      </w:rPr>
      <w:t>2017</w:t>
    </w:r>
    <w:r w:rsidR="0074691A" w:rsidRPr="00557C6B">
      <w:rPr>
        <w:noProof/>
        <w:color w:val="595959" w:themeColor="text1" w:themeTint="A6"/>
        <w:sz w:val="24"/>
        <w:szCs w:val="24"/>
      </w:rPr>
      <w:t>;</w:t>
    </w:r>
    <w:r w:rsidR="00763397">
      <w:rPr>
        <w:noProof/>
        <w:color w:val="595959" w:themeColor="text1" w:themeTint="A6"/>
        <w:sz w:val="24"/>
        <w:szCs w:val="24"/>
      </w:rPr>
      <w:t>4</w:t>
    </w:r>
    <w:r w:rsidR="0074691A" w:rsidRPr="00557C6B">
      <w:rPr>
        <w:noProof/>
        <w:color w:val="595959" w:themeColor="text1" w:themeTint="A6"/>
        <w:sz w:val="24"/>
        <w:szCs w:val="24"/>
      </w:rPr>
      <w:t>(</w:t>
    </w:r>
    <w:r w:rsidR="00763397">
      <w:rPr>
        <w:noProof/>
        <w:color w:val="595959" w:themeColor="text1" w:themeTint="A6"/>
        <w:sz w:val="24"/>
        <w:szCs w:val="24"/>
      </w:rPr>
      <w:t>5</w:t>
    </w:r>
    <w:r w:rsidR="0074691A" w:rsidRPr="00557C6B">
      <w:rPr>
        <w:noProof/>
        <w:color w:val="595959" w:themeColor="text1" w:themeTint="A6"/>
        <w:sz w:val="24"/>
        <w:szCs w:val="24"/>
      </w:rPr>
      <w:t>)</w:t>
    </w:r>
    <w:r w:rsidR="003F32D3" w:rsidRPr="00BC5D0F">
      <w:rPr>
        <w:noProof/>
        <w:color w:val="595959" w:themeColor="text1" w:themeTint="A6"/>
        <w:sz w:val="24"/>
        <w:szCs w:val="24"/>
      </w:rPr>
      <w:tab/>
    </w:r>
    <w:r w:rsidR="003F32D3" w:rsidRPr="00BC5D0F">
      <w:rPr>
        <w:noProof/>
        <w:color w:val="595959" w:themeColor="text1" w:themeTint="A6"/>
        <w:sz w:val="24"/>
        <w:szCs w:val="24"/>
      </w:rPr>
      <w:tab/>
      <w:t xml:space="preserve">ISSN: </w:t>
    </w:r>
    <w:r w:rsidR="00261780" w:rsidRPr="00261780">
      <w:rPr>
        <w:noProof/>
        <w:color w:val="595959" w:themeColor="text1" w:themeTint="A6"/>
        <w:sz w:val="24"/>
        <w:szCs w:val="24"/>
      </w:rPr>
      <w:t>ISSN: 2349-5340</w:t>
    </w:r>
  </w:p>
  <w:p w:rsidR="005E1A36" w:rsidRPr="00BC5D0F" w:rsidRDefault="003C712D" w:rsidP="003C712D">
    <w:pPr>
      <w:pStyle w:val="Header"/>
      <w:pBdr>
        <w:bottom w:val="dotDash" w:sz="12" w:space="1" w:color="F79646" w:themeColor="accent6"/>
      </w:pBdr>
      <w:tabs>
        <w:tab w:val="left" w:pos="7245"/>
      </w:tabs>
      <w:rPr>
        <w:noProof/>
        <w:color w:val="595959" w:themeColor="text1" w:themeTint="A6"/>
        <w:sz w:val="24"/>
        <w:szCs w:val="24"/>
      </w:rPr>
    </w:pPr>
    <w:r>
      <w:rPr>
        <w:noProof/>
        <w:color w:val="595959" w:themeColor="text1" w:themeTint="A6"/>
        <w:sz w:val="24"/>
        <w:szCs w:val="24"/>
      </w:rPr>
      <w:t>DOI:</w:t>
    </w:r>
    <w:r w:rsidR="003B6950" w:rsidRPr="003B6950">
      <w:t xml:space="preserve"> </w:t>
    </w:r>
    <w:r w:rsidR="003B6950" w:rsidRPr="003B6950">
      <w:rPr>
        <w:noProof/>
        <w:color w:val="595959" w:themeColor="text1" w:themeTint="A6"/>
        <w:sz w:val="24"/>
        <w:szCs w:val="24"/>
      </w:rPr>
      <w:t>10.5281/zenodo.572578</w:t>
    </w:r>
    <w:bookmarkStart w:id="0" w:name="_GoBack"/>
    <w:bookmarkEnd w:id="0"/>
    <w:r>
      <w:rPr>
        <w:noProof/>
        <w:color w:val="595959" w:themeColor="text1" w:themeTint="A6"/>
        <w:sz w:val="24"/>
        <w:szCs w:val="24"/>
      </w:rPr>
      <w:t xml:space="preserve"> </w:t>
    </w:r>
    <w:r>
      <w:rPr>
        <w:noProof/>
        <w:color w:val="595959" w:themeColor="text1" w:themeTint="A6"/>
        <w:sz w:val="24"/>
        <w:szCs w:val="24"/>
      </w:rPr>
      <w:tab/>
    </w:r>
    <w:r>
      <w:rPr>
        <w:noProof/>
        <w:color w:val="595959" w:themeColor="text1" w:themeTint="A6"/>
        <w:sz w:val="24"/>
        <w:szCs w:val="24"/>
      </w:rPr>
      <w:tab/>
    </w:r>
    <w:r w:rsidR="0084502B">
      <w:rPr>
        <w:noProof/>
        <w:color w:val="595959" w:themeColor="text1" w:themeTint="A6"/>
        <w:sz w:val="24"/>
        <w:szCs w:val="24"/>
      </w:rPr>
      <w:t>Impact Factor</w:t>
    </w:r>
    <w:r w:rsidR="00564E5B" w:rsidRPr="00564E5B">
      <w:rPr>
        <w:noProof/>
        <w:color w:val="595959" w:themeColor="text1" w:themeTint="A6"/>
        <w:sz w:val="24"/>
        <w:szCs w:val="24"/>
      </w:rPr>
      <w:t xml:space="preserve">: </w:t>
    </w:r>
    <w:r w:rsidR="00670133" w:rsidRPr="00670133">
      <w:rPr>
        <w:noProof/>
        <w:color w:val="595959" w:themeColor="text1" w:themeTint="A6"/>
        <w:sz w:val="24"/>
        <w:szCs w:val="24"/>
      </w:rPr>
      <w:t>3.052</w:t>
    </w:r>
  </w:p>
  <w:p w:rsidR="003F32D3" w:rsidRPr="003F32D3" w:rsidRDefault="003F32D3" w:rsidP="003F32D3">
    <w:pPr>
      <w:pStyle w:val="Header"/>
      <w:rPr>
        <w:rFonts w:ascii="Times New Roman" w:hAnsi="Times New Roman" w:cs="Times New Roman"/>
        <w:noProof/>
        <w:color w:val="595959" w:themeColor="text1" w:themeTint="A6"/>
        <w:sz w:val="18"/>
        <w:szCs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0771" w:rsidRDefault="00830DE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5732" o:spid="_x0000_s2058" type="#_x0000_t136" style="position:absolute;margin-left:0;margin-top:0;width:532.95pt;height:228.4pt;rotation:315;z-index:-251651072;mso-position-horizontal:center;mso-position-horizontal-relative:margin;mso-position-vertical:center;mso-position-vertical-relative:margin" o:allowincell="f" fillcolor="#e36c0a [2409]" stroked="f">
          <v:fill opacity=".5"/>
          <v:textpath style="font-family:&quot;Calibri&quot;;font-size:1pt" string="IJMRPS"/>
          <w10:wrap anchorx="margin" anchory="margin"/>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0;margin-top:0;width:467.9pt;height:467.9pt;z-index:-251654144;mso-position-horizontal:center;mso-position-horizontal-relative:margin;mso-position-vertical:center;mso-position-vertical-relative:margin" o:allowincell="f">
          <v:imagedata r:id="rId1" o:title="add_256"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514D67"/>
    <w:multiLevelType w:val="hybridMultilevel"/>
    <w:tmpl w:val="D072518C"/>
    <w:lvl w:ilvl="0" w:tplc="8B0E036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E281F21"/>
    <w:multiLevelType w:val="hybridMultilevel"/>
    <w:tmpl w:val="D65624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0C7A7E"/>
    <w:multiLevelType w:val="hybridMultilevel"/>
    <w:tmpl w:val="FF9E119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5AC91F06"/>
    <w:multiLevelType w:val="hybridMultilevel"/>
    <w:tmpl w:val="A4AC0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DDC7EBE"/>
    <w:multiLevelType w:val="hybridMultilevel"/>
    <w:tmpl w:val="0170A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3F4DD8"/>
    <w:rsid w:val="00001E27"/>
    <w:rsid w:val="000028A1"/>
    <w:rsid w:val="0000293E"/>
    <w:rsid w:val="00002ED7"/>
    <w:rsid w:val="0000313B"/>
    <w:rsid w:val="00003838"/>
    <w:rsid w:val="00004372"/>
    <w:rsid w:val="00005396"/>
    <w:rsid w:val="00005523"/>
    <w:rsid w:val="0000614B"/>
    <w:rsid w:val="00006E19"/>
    <w:rsid w:val="00006E5C"/>
    <w:rsid w:val="000104BF"/>
    <w:rsid w:val="00010D8F"/>
    <w:rsid w:val="0001103C"/>
    <w:rsid w:val="0001164E"/>
    <w:rsid w:val="0001168C"/>
    <w:rsid w:val="00011C72"/>
    <w:rsid w:val="000124F3"/>
    <w:rsid w:val="00012AD3"/>
    <w:rsid w:val="00016235"/>
    <w:rsid w:val="00017077"/>
    <w:rsid w:val="000179D7"/>
    <w:rsid w:val="00020888"/>
    <w:rsid w:val="00023A4D"/>
    <w:rsid w:val="00025028"/>
    <w:rsid w:val="0002534D"/>
    <w:rsid w:val="000261C8"/>
    <w:rsid w:val="00026628"/>
    <w:rsid w:val="00026759"/>
    <w:rsid w:val="00027623"/>
    <w:rsid w:val="00031A4A"/>
    <w:rsid w:val="00032642"/>
    <w:rsid w:val="00034F17"/>
    <w:rsid w:val="000353D2"/>
    <w:rsid w:val="00035762"/>
    <w:rsid w:val="00035A32"/>
    <w:rsid w:val="00036217"/>
    <w:rsid w:val="0003685C"/>
    <w:rsid w:val="000409B4"/>
    <w:rsid w:val="00040CCE"/>
    <w:rsid w:val="000415F6"/>
    <w:rsid w:val="00041C67"/>
    <w:rsid w:val="0004367D"/>
    <w:rsid w:val="00043A5C"/>
    <w:rsid w:val="00045762"/>
    <w:rsid w:val="00045D3D"/>
    <w:rsid w:val="0004665F"/>
    <w:rsid w:val="00050192"/>
    <w:rsid w:val="00050B53"/>
    <w:rsid w:val="000520D7"/>
    <w:rsid w:val="00052821"/>
    <w:rsid w:val="000533E9"/>
    <w:rsid w:val="0005395C"/>
    <w:rsid w:val="00054A51"/>
    <w:rsid w:val="00054ED1"/>
    <w:rsid w:val="00055321"/>
    <w:rsid w:val="00055D4C"/>
    <w:rsid w:val="000571B1"/>
    <w:rsid w:val="0005727D"/>
    <w:rsid w:val="000574C6"/>
    <w:rsid w:val="00061449"/>
    <w:rsid w:val="0006248A"/>
    <w:rsid w:val="00063054"/>
    <w:rsid w:val="000632B5"/>
    <w:rsid w:val="000640A0"/>
    <w:rsid w:val="00065274"/>
    <w:rsid w:val="0006528D"/>
    <w:rsid w:val="00067457"/>
    <w:rsid w:val="000675DA"/>
    <w:rsid w:val="0007182D"/>
    <w:rsid w:val="00072EE2"/>
    <w:rsid w:val="00074030"/>
    <w:rsid w:val="00074ABA"/>
    <w:rsid w:val="00074EA1"/>
    <w:rsid w:val="00076631"/>
    <w:rsid w:val="000768E3"/>
    <w:rsid w:val="0007706C"/>
    <w:rsid w:val="000805A8"/>
    <w:rsid w:val="00082220"/>
    <w:rsid w:val="000825FA"/>
    <w:rsid w:val="00082A0D"/>
    <w:rsid w:val="0008515B"/>
    <w:rsid w:val="00085ABC"/>
    <w:rsid w:val="00087B20"/>
    <w:rsid w:val="000914E6"/>
    <w:rsid w:val="000941D7"/>
    <w:rsid w:val="0009602E"/>
    <w:rsid w:val="00096F41"/>
    <w:rsid w:val="00097F37"/>
    <w:rsid w:val="000A012D"/>
    <w:rsid w:val="000A4109"/>
    <w:rsid w:val="000A4502"/>
    <w:rsid w:val="000A541F"/>
    <w:rsid w:val="000A56DE"/>
    <w:rsid w:val="000A7363"/>
    <w:rsid w:val="000B096A"/>
    <w:rsid w:val="000B11C2"/>
    <w:rsid w:val="000B15DA"/>
    <w:rsid w:val="000B20F7"/>
    <w:rsid w:val="000B2E4B"/>
    <w:rsid w:val="000B36E4"/>
    <w:rsid w:val="000B3848"/>
    <w:rsid w:val="000B3B00"/>
    <w:rsid w:val="000B4C92"/>
    <w:rsid w:val="000B6383"/>
    <w:rsid w:val="000B64E3"/>
    <w:rsid w:val="000B6580"/>
    <w:rsid w:val="000B7AB1"/>
    <w:rsid w:val="000C06BD"/>
    <w:rsid w:val="000C118E"/>
    <w:rsid w:val="000C1E21"/>
    <w:rsid w:val="000D0B4C"/>
    <w:rsid w:val="000D181E"/>
    <w:rsid w:val="000D254D"/>
    <w:rsid w:val="000D3608"/>
    <w:rsid w:val="000D4227"/>
    <w:rsid w:val="000D4CE7"/>
    <w:rsid w:val="000D4E95"/>
    <w:rsid w:val="000D6CDE"/>
    <w:rsid w:val="000E0181"/>
    <w:rsid w:val="000E11AF"/>
    <w:rsid w:val="000E16BE"/>
    <w:rsid w:val="000E2FD3"/>
    <w:rsid w:val="000E3610"/>
    <w:rsid w:val="000E4982"/>
    <w:rsid w:val="000E4AB9"/>
    <w:rsid w:val="000E4C8B"/>
    <w:rsid w:val="000E6490"/>
    <w:rsid w:val="000E70EE"/>
    <w:rsid w:val="000E744A"/>
    <w:rsid w:val="000F23C9"/>
    <w:rsid w:val="000F3DBB"/>
    <w:rsid w:val="000F48CE"/>
    <w:rsid w:val="000F54A9"/>
    <w:rsid w:val="000F6DF4"/>
    <w:rsid w:val="000F7583"/>
    <w:rsid w:val="000F7F5B"/>
    <w:rsid w:val="00100098"/>
    <w:rsid w:val="001003DE"/>
    <w:rsid w:val="00103679"/>
    <w:rsid w:val="001047D6"/>
    <w:rsid w:val="00104AD3"/>
    <w:rsid w:val="00104FCA"/>
    <w:rsid w:val="00105A7E"/>
    <w:rsid w:val="00106901"/>
    <w:rsid w:val="00106B1A"/>
    <w:rsid w:val="00111C40"/>
    <w:rsid w:val="0011216D"/>
    <w:rsid w:val="00113086"/>
    <w:rsid w:val="00113F44"/>
    <w:rsid w:val="00115460"/>
    <w:rsid w:val="0011563F"/>
    <w:rsid w:val="00116122"/>
    <w:rsid w:val="0011726B"/>
    <w:rsid w:val="00120217"/>
    <w:rsid w:val="00122AA6"/>
    <w:rsid w:val="00127C67"/>
    <w:rsid w:val="00127DE1"/>
    <w:rsid w:val="00130466"/>
    <w:rsid w:val="00132221"/>
    <w:rsid w:val="00133F84"/>
    <w:rsid w:val="0013623D"/>
    <w:rsid w:val="001367E6"/>
    <w:rsid w:val="00136E3F"/>
    <w:rsid w:val="00137E7F"/>
    <w:rsid w:val="00140D1D"/>
    <w:rsid w:val="0014303C"/>
    <w:rsid w:val="00143C81"/>
    <w:rsid w:val="00144810"/>
    <w:rsid w:val="0014498D"/>
    <w:rsid w:val="00144CC8"/>
    <w:rsid w:val="0014536F"/>
    <w:rsid w:val="00146BB6"/>
    <w:rsid w:val="00146F19"/>
    <w:rsid w:val="001474F4"/>
    <w:rsid w:val="001476BF"/>
    <w:rsid w:val="00147FBD"/>
    <w:rsid w:val="00150561"/>
    <w:rsid w:val="001508FD"/>
    <w:rsid w:val="00150F9E"/>
    <w:rsid w:val="00150FEC"/>
    <w:rsid w:val="00153E43"/>
    <w:rsid w:val="00155649"/>
    <w:rsid w:val="0015568C"/>
    <w:rsid w:val="00155D6D"/>
    <w:rsid w:val="00156ACD"/>
    <w:rsid w:val="001631E8"/>
    <w:rsid w:val="0016531B"/>
    <w:rsid w:val="001653D4"/>
    <w:rsid w:val="00166254"/>
    <w:rsid w:val="00166BE1"/>
    <w:rsid w:val="001673BF"/>
    <w:rsid w:val="001678CB"/>
    <w:rsid w:val="0016793F"/>
    <w:rsid w:val="00167B59"/>
    <w:rsid w:val="00170F46"/>
    <w:rsid w:val="001711B4"/>
    <w:rsid w:val="00171858"/>
    <w:rsid w:val="00171E90"/>
    <w:rsid w:val="001721BE"/>
    <w:rsid w:val="001727D2"/>
    <w:rsid w:val="0017752D"/>
    <w:rsid w:val="00180CFE"/>
    <w:rsid w:val="00181FC3"/>
    <w:rsid w:val="00181FEC"/>
    <w:rsid w:val="0018308F"/>
    <w:rsid w:val="00183556"/>
    <w:rsid w:val="00183FEA"/>
    <w:rsid w:val="001876BA"/>
    <w:rsid w:val="001900E8"/>
    <w:rsid w:val="00190CB5"/>
    <w:rsid w:val="00192413"/>
    <w:rsid w:val="001947D7"/>
    <w:rsid w:val="00194953"/>
    <w:rsid w:val="0019663D"/>
    <w:rsid w:val="001A40C0"/>
    <w:rsid w:val="001A4635"/>
    <w:rsid w:val="001A46DE"/>
    <w:rsid w:val="001A4955"/>
    <w:rsid w:val="001A4A0E"/>
    <w:rsid w:val="001A6DE1"/>
    <w:rsid w:val="001A70E0"/>
    <w:rsid w:val="001A78BD"/>
    <w:rsid w:val="001A79FA"/>
    <w:rsid w:val="001A7F1E"/>
    <w:rsid w:val="001B0378"/>
    <w:rsid w:val="001B093E"/>
    <w:rsid w:val="001B1454"/>
    <w:rsid w:val="001B2ED6"/>
    <w:rsid w:val="001B4BD4"/>
    <w:rsid w:val="001B5656"/>
    <w:rsid w:val="001B6BDF"/>
    <w:rsid w:val="001B7B2B"/>
    <w:rsid w:val="001B7FD2"/>
    <w:rsid w:val="001C00CE"/>
    <w:rsid w:val="001C1DD6"/>
    <w:rsid w:val="001C3B61"/>
    <w:rsid w:val="001C5542"/>
    <w:rsid w:val="001C56D7"/>
    <w:rsid w:val="001C5974"/>
    <w:rsid w:val="001C60DF"/>
    <w:rsid w:val="001C61A0"/>
    <w:rsid w:val="001D0552"/>
    <w:rsid w:val="001D47A4"/>
    <w:rsid w:val="001D4904"/>
    <w:rsid w:val="001D76C2"/>
    <w:rsid w:val="001D7FE9"/>
    <w:rsid w:val="001E075C"/>
    <w:rsid w:val="001E1A91"/>
    <w:rsid w:val="001E2D3F"/>
    <w:rsid w:val="001E2E4E"/>
    <w:rsid w:val="001E413F"/>
    <w:rsid w:val="001E5132"/>
    <w:rsid w:val="001F077F"/>
    <w:rsid w:val="001F4847"/>
    <w:rsid w:val="001F5632"/>
    <w:rsid w:val="001F770F"/>
    <w:rsid w:val="00200C06"/>
    <w:rsid w:val="00201813"/>
    <w:rsid w:val="0020458A"/>
    <w:rsid w:val="00204F1D"/>
    <w:rsid w:val="002056D2"/>
    <w:rsid w:val="00206083"/>
    <w:rsid w:val="002063AE"/>
    <w:rsid w:val="00207385"/>
    <w:rsid w:val="00207D3D"/>
    <w:rsid w:val="0021068A"/>
    <w:rsid w:val="0021224F"/>
    <w:rsid w:val="00213C58"/>
    <w:rsid w:val="0021480F"/>
    <w:rsid w:val="0021488B"/>
    <w:rsid w:val="00214F3C"/>
    <w:rsid w:val="00214F45"/>
    <w:rsid w:val="00216CC4"/>
    <w:rsid w:val="00221514"/>
    <w:rsid w:val="00221FF7"/>
    <w:rsid w:val="00223106"/>
    <w:rsid w:val="002243C1"/>
    <w:rsid w:val="0022508A"/>
    <w:rsid w:val="00225620"/>
    <w:rsid w:val="0022605E"/>
    <w:rsid w:val="00226D76"/>
    <w:rsid w:val="00227360"/>
    <w:rsid w:val="0023065E"/>
    <w:rsid w:val="00231755"/>
    <w:rsid w:val="00232576"/>
    <w:rsid w:val="00233ED2"/>
    <w:rsid w:val="00234CE3"/>
    <w:rsid w:val="00234EC5"/>
    <w:rsid w:val="002352B6"/>
    <w:rsid w:val="002355F7"/>
    <w:rsid w:val="002378E1"/>
    <w:rsid w:val="00241202"/>
    <w:rsid w:val="00246108"/>
    <w:rsid w:val="00253329"/>
    <w:rsid w:val="00253F9C"/>
    <w:rsid w:val="002543AF"/>
    <w:rsid w:val="002615FC"/>
    <w:rsid w:val="00261780"/>
    <w:rsid w:val="002629D6"/>
    <w:rsid w:val="00263F1F"/>
    <w:rsid w:val="002648B1"/>
    <w:rsid w:val="00264E6E"/>
    <w:rsid w:val="00265546"/>
    <w:rsid w:val="00267665"/>
    <w:rsid w:val="002678D6"/>
    <w:rsid w:val="002704C8"/>
    <w:rsid w:val="00272F86"/>
    <w:rsid w:val="00273027"/>
    <w:rsid w:val="00275738"/>
    <w:rsid w:val="00276AF0"/>
    <w:rsid w:val="00276D02"/>
    <w:rsid w:val="0027713B"/>
    <w:rsid w:val="00277B7B"/>
    <w:rsid w:val="00280651"/>
    <w:rsid w:val="00280FA9"/>
    <w:rsid w:val="0028264D"/>
    <w:rsid w:val="00282FD0"/>
    <w:rsid w:val="00284E9D"/>
    <w:rsid w:val="00285FA9"/>
    <w:rsid w:val="0028677F"/>
    <w:rsid w:val="002872AC"/>
    <w:rsid w:val="00287D65"/>
    <w:rsid w:val="00287EE0"/>
    <w:rsid w:val="00290947"/>
    <w:rsid w:val="00290D1D"/>
    <w:rsid w:val="00291D59"/>
    <w:rsid w:val="00293850"/>
    <w:rsid w:val="00294255"/>
    <w:rsid w:val="00295A53"/>
    <w:rsid w:val="00295CD3"/>
    <w:rsid w:val="00297059"/>
    <w:rsid w:val="00297166"/>
    <w:rsid w:val="00297873"/>
    <w:rsid w:val="0029799A"/>
    <w:rsid w:val="002A0FFA"/>
    <w:rsid w:val="002A1272"/>
    <w:rsid w:val="002A1E98"/>
    <w:rsid w:val="002A2DFE"/>
    <w:rsid w:val="002A37F1"/>
    <w:rsid w:val="002A3C43"/>
    <w:rsid w:val="002A48D6"/>
    <w:rsid w:val="002A4E0B"/>
    <w:rsid w:val="002A5EAE"/>
    <w:rsid w:val="002B0672"/>
    <w:rsid w:val="002B2795"/>
    <w:rsid w:val="002B3F08"/>
    <w:rsid w:val="002B4A78"/>
    <w:rsid w:val="002B6997"/>
    <w:rsid w:val="002B778E"/>
    <w:rsid w:val="002B7E28"/>
    <w:rsid w:val="002C04D7"/>
    <w:rsid w:val="002C15B2"/>
    <w:rsid w:val="002C4948"/>
    <w:rsid w:val="002C5571"/>
    <w:rsid w:val="002C5576"/>
    <w:rsid w:val="002C6FCA"/>
    <w:rsid w:val="002D031D"/>
    <w:rsid w:val="002D03A6"/>
    <w:rsid w:val="002D12B5"/>
    <w:rsid w:val="002D1620"/>
    <w:rsid w:val="002D1D31"/>
    <w:rsid w:val="002D23D2"/>
    <w:rsid w:val="002D23F6"/>
    <w:rsid w:val="002D5353"/>
    <w:rsid w:val="002D7DE9"/>
    <w:rsid w:val="002D7F7A"/>
    <w:rsid w:val="002E0168"/>
    <w:rsid w:val="002E1112"/>
    <w:rsid w:val="002E199C"/>
    <w:rsid w:val="002E308B"/>
    <w:rsid w:val="002E31B8"/>
    <w:rsid w:val="002E345F"/>
    <w:rsid w:val="002E3766"/>
    <w:rsid w:val="002E48EF"/>
    <w:rsid w:val="002E5458"/>
    <w:rsid w:val="002E5E14"/>
    <w:rsid w:val="002F01EB"/>
    <w:rsid w:val="002F32A2"/>
    <w:rsid w:val="002F6F2B"/>
    <w:rsid w:val="002F7215"/>
    <w:rsid w:val="002F7EB1"/>
    <w:rsid w:val="00300851"/>
    <w:rsid w:val="00300EF0"/>
    <w:rsid w:val="0030253D"/>
    <w:rsid w:val="00302CD2"/>
    <w:rsid w:val="003032E7"/>
    <w:rsid w:val="00303BB7"/>
    <w:rsid w:val="00304034"/>
    <w:rsid w:val="00304B40"/>
    <w:rsid w:val="00304E23"/>
    <w:rsid w:val="00304FD9"/>
    <w:rsid w:val="00306FDC"/>
    <w:rsid w:val="00307786"/>
    <w:rsid w:val="00307970"/>
    <w:rsid w:val="00312179"/>
    <w:rsid w:val="00312CB6"/>
    <w:rsid w:val="003131AA"/>
    <w:rsid w:val="00314803"/>
    <w:rsid w:val="00317ABC"/>
    <w:rsid w:val="00320702"/>
    <w:rsid w:val="0032270E"/>
    <w:rsid w:val="00323B83"/>
    <w:rsid w:val="00324B4B"/>
    <w:rsid w:val="00324EDF"/>
    <w:rsid w:val="003256B2"/>
    <w:rsid w:val="0032696B"/>
    <w:rsid w:val="003278ED"/>
    <w:rsid w:val="00327E03"/>
    <w:rsid w:val="003306F5"/>
    <w:rsid w:val="00330C06"/>
    <w:rsid w:val="003317C2"/>
    <w:rsid w:val="00333009"/>
    <w:rsid w:val="003331B8"/>
    <w:rsid w:val="003335AB"/>
    <w:rsid w:val="0033447B"/>
    <w:rsid w:val="003344D2"/>
    <w:rsid w:val="00334705"/>
    <w:rsid w:val="00335D95"/>
    <w:rsid w:val="00336EAD"/>
    <w:rsid w:val="0034026F"/>
    <w:rsid w:val="0034100A"/>
    <w:rsid w:val="003428A0"/>
    <w:rsid w:val="0034293B"/>
    <w:rsid w:val="00344BFF"/>
    <w:rsid w:val="00345279"/>
    <w:rsid w:val="00350CBA"/>
    <w:rsid w:val="00351A6E"/>
    <w:rsid w:val="003521C7"/>
    <w:rsid w:val="00355315"/>
    <w:rsid w:val="00355E63"/>
    <w:rsid w:val="00356EFF"/>
    <w:rsid w:val="0035761A"/>
    <w:rsid w:val="003609A4"/>
    <w:rsid w:val="0036138E"/>
    <w:rsid w:val="0036139E"/>
    <w:rsid w:val="003614AD"/>
    <w:rsid w:val="00363CE9"/>
    <w:rsid w:val="0036455B"/>
    <w:rsid w:val="00364736"/>
    <w:rsid w:val="00366A2C"/>
    <w:rsid w:val="00366B4D"/>
    <w:rsid w:val="00367625"/>
    <w:rsid w:val="00367930"/>
    <w:rsid w:val="00367DD9"/>
    <w:rsid w:val="0037039E"/>
    <w:rsid w:val="00370BC4"/>
    <w:rsid w:val="00371A5A"/>
    <w:rsid w:val="003732EE"/>
    <w:rsid w:val="003820A2"/>
    <w:rsid w:val="003828B9"/>
    <w:rsid w:val="003830A7"/>
    <w:rsid w:val="00384464"/>
    <w:rsid w:val="00384EB6"/>
    <w:rsid w:val="00385747"/>
    <w:rsid w:val="00386E01"/>
    <w:rsid w:val="00386F41"/>
    <w:rsid w:val="00390741"/>
    <w:rsid w:val="00395A67"/>
    <w:rsid w:val="0039705F"/>
    <w:rsid w:val="00397B13"/>
    <w:rsid w:val="00397BBA"/>
    <w:rsid w:val="003A184F"/>
    <w:rsid w:val="003A3164"/>
    <w:rsid w:val="003A471F"/>
    <w:rsid w:val="003A4F90"/>
    <w:rsid w:val="003A5A89"/>
    <w:rsid w:val="003A5BA6"/>
    <w:rsid w:val="003A73B4"/>
    <w:rsid w:val="003B0882"/>
    <w:rsid w:val="003B0BB8"/>
    <w:rsid w:val="003B0D33"/>
    <w:rsid w:val="003B1217"/>
    <w:rsid w:val="003B13A6"/>
    <w:rsid w:val="003B182C"/>
    <w:rsid w:val="003B1A80"/>
    <w:rsid w:val="003B1E1D"/>
    <w:rsid w:val="003B3751"/>
    <w:rsid w:val="003B403B"/>
    <w:rsid w:val="003B5567"/>
    <w:rsid w:val="003B5BB1"/>
    <w:rsid w:val="003B6950"/>
    <w:rsid w:val="003C0A4B"/>
    <w:rsid w:val="003C2843"/>
    <w:rsid w:val="003C28C9"/>
    <w:rsid w:val="003C2A57"/>
    <w:rsid w:val="003C319D"/>
    <w:rsid w:val="003C353A"/>
    <w:rsid w:val="003C46C0"/>
    <w:rsid w:val="003C6D70"/>
    <w:rsid w:val="003C712D"/>
    <w:rsid w:val="003C7462"/>
    <w:rsid w:val="003D07D7"/>
    <w:rsid w:val="003D363E"/>
    <w:rsid w:val="003D3CCD"/>
    <w:rsid w:val="003D4D3C"/>
    <w:rsid w:val="003D4ED7"/>
    <w:rsid w:val="003D648A"/>
    <w:rsid w:val="003D7475"/>
    <w:rsid w:val="003D7932"/>
    <w:rsid w:val="003E1115"/>
    <w:rsid w:val="003E16DC"/>
    <w:rsid w:val="003E1850"/>
    <w:rsid w:val="003E1FE8"/>
    <w:rsid w:val="003E405C"/>
    <w:rsid w:val="003E4576"/>
    <w:rsid w:val="003E60F6"/>
    <w:rsid w:val="003E7F73"/>
    <w:rsid w:val="003F16DC"/>
    <w:rsid w:val="003F2C7E"/>
    <w:rsid w:val="003F3140"/>
    <w:rsid w:val="003F32D3"/>
    <w:rsid w:val="003F3AC1"/>
    <w:rsid w:val="003F3BDA"/>
    <w:rsid w:val="003F4DD8"/>
    <w:rsid w:val="003F5BE2"/>
    <w:rsid w:val="003F7D9E"/>
    <w:rsid w:val="00401D1E"/>
    <w:rsid w:val="00401E7E"/>
    <w:rsid w:val="0040394D"/>
    <w:rsid w:val="0040434E"/>
    <w:rsid w:val="00404773"/>
    <w:rsid w:val="004048C4"/>
    <w:rsid w:val="0040499B"/>
    <w:rsid w:val="00405DDC"/>
    <w:rsid w:val="00406A95"/>
    <w:rsid w:val="004116E1"/>
    <w:rsid w:val="00412C0F"/>
    <w:rsid w:val="00412DA7"/>
    <w:rsid w:val="00413252"/>
    <w:rsid w:val="00414077"/>
    <w:rsid w:val="004158B6"/>
    <w:rsid w:val="00415C0C"/>
    <w:rsid w:val="00420558"/>
    <w:rsid w:val="00420BC3"/>
    <w:rsid w:val="00420D18"/>
    <w:rsid w:val="00420F3A"/>
    <w:rsid w:val="0042142C"/>
    <w:rsid w:val="004219D8"/>
    <w:rsid w:val="004220DD"/>
    <w:rsid w:val="00425B52"/>
    <w:rsid w:val="00427648"/>
    <w:rsid w:val="00431D16"/>
    <w:rsid w:val="0043384D"/>
    <w:rsid w:val="00434B36"/>
    <w:rsid w:val="004351F7"/>
    <w:rsid w:val="00435D2E"/>
    <w:rsid w:val="004360F9"/>
    <w:rsid w:val="004368C8"/>
    <w:rsid w:val="004425C7"/>
    <w:rsid w:val="004431A5"/>
    <w:rsid w:val="004433A6"/>
    <w:rsid w:val="00443EBA"/>
    <w:rsid w:val="00444D2A"/>
    <w:rsid w:val="0044525B"/>
    <w:rsid w:val="0044617F"/>
    <w:rsid w:val="004461F5"/>
    <w:rsid w:val="0044635A"/>
    <w:rsid w:val="00454AEB"/>
    <w:rsid w:val="00455AEA"/>
    <w:rsid w:val="00456AA1"/>
    <w:rsid w:val="004573CA"/>
    <w:rsid w:val="00460F52"/>
    <w:rsid w:val="004612AC"/>
    <w:rsid w:val="004636DD"/>
    <w:rsid w:val="0046561A"/>
    <w:rsid w:val="00466411"/>
    <w:rsid w:val="00466ED2"/>
    <w:rsid w:val="00467633"/>
    <w:rsid w:val="00470715"/>
    <w:rsid w:val="0047477E"/>
    <w:rsid w:val="00475EA0"/>
    <w:rsid w:val="0048179D"/>
    <w:rsid w:val="004852B9"/>
    <w:rsid w:val="00487713"/>
    <w:rsid w:val="004929EC"/>
    <w:rsid w:val="00492F63"/>
    <w:rsid w:val="004944AE"/>
    <w:rsid w:val="00497AC3"/>
    <w:rsid w:val="004A0FFD"/>
    <w:rsid w:val="004A1267"/>
    <w:rsid w:val="004A179B"/>
    <w:rsid w:val="004A1FD2"/>
    <w:rsid w:val="004A249E"/>
    <w:rsid w:val="004A2A84"/>
    <w:rsid w:val="004A35A1"/>
    <w:rsid w:val="004A44FC"/>
    <w:rsid w:val="004A639A"/>
    <w:rsid w:val="004A6B06"/>
    <w:rsid w:val="004A6C42"/>
    <w:rsid w:val="004A6C7C"/>
    <w:rsid w:val="004A6D21"/>
    <w:rsid w:val="004A7617"/>
    <w:rsid w:val="004B11B9"/>
    <w:rsid w:val="004B2BA1"/>
    <w:rsid w:val="004B4400"/>
    <w:rsid w:val="004B4967"/>
    <w:rsid w:val="004C135F"/>
    <w:rsid w:val="004C14F9"/>
    <w:rsid w:val="004C1A71"/>
    <w:rsid w:val="004C2D08"/>
    <w:rsid w:val="004C4071"/>
    <w:rsid w:val="004C4ED2"/>
    <w:rsid w:val="004C6AD0"/>
    <w:rsid w:val="004C6B1C"/>
    <w:rsid w:val="004C73A1"/>
    <w:rsid w:val="004D0731"/>
    <w:rsid w:val="004D1F70"/>
    <w:rsid w:val="004D25B4"/>
    <w:rsid w:val="004D41B9"/>
    <w:rsid w:val="004D77F2"/>
    <w:rsid w:val="004D7891"/>
    <w:rsid w:val="004D78C8"/>
    <w:rsid w:val="004D7EFF"/>
    <w:rsid w:val="004E057E"/>
    <w:rsid w:val="004E13BE"/>
    <w:rsid w:val="004E7BE3"/>
    <w:rsid w:val="004E7CBE"/>
    <w:rsid w:val="004F0389"/>
    <w:rsid w:val="004F0A55"/>
    <w:rsid w:val="004F12EB"/>
    <w:rsid w:val="004F1642"/>
    <w:rsid w:val="004F1925"/>
    <w:rsid w:val="004F3B8E"/>
    <w:rsid w:val="004F57BE"/>
    <w:rsid w:val="004F5F84"/>
    <w:rsid w:val="005000CC"/>
    <w:rsid w:val="00500F44"/>
    <w:rsid w:val="00501E65"/>
    <w:rsid w:val="005022C4"/>
    <w:rsid w:val="0050339D"/>
    <w:rsid w:val="005049E1"/>
    <w:rsid w:val="00505812"/>
    <w:rsid w:val="00506D2C"/>
    <w:rsid w:val="005070E1"/>
    <w:rsid w:val="005077B4"/>
    <w:rsid w:val="00510302"/>
    <w:rsid w:val="0051173D"/>
    <w:rsid w:val="0051216D"/>
    <w:rsid w:val="0051269D"/>
    <w:rsid w:val="00513CA3"/>
    <w:rsid w:val="0051516E"/>
    <w:rsid w:val="00515F24"/>
    <w:rsid w:val="005169DB"/>
    <w:rsid w:val="00517D29"/>
    <w:rsid w:val="005205A4"/>
    <w:rsid w:val="00520AE3"/>
    <w:rsid w:val="0052641C"/>
    <w:rsid w:val="005270A2"/>
    <w:rsid w:val="005278AC"/>
    <w:rsid w:val="005300DA"/>
    <w:rsid w:val="00530EB5"/>
    <w:rsid w:val="005317EA"/>
    <w:rsid w:val="0053226E"/>
    <w:rsid w:val="00534312"/>
    <w:rsid w:val="00536822"/>
    <w:rsid w:val="00536A04"/>
    <w:rsid w:val="00537D73"/>
    <w:rsid w:val="00542F35"/>
    <w:rsid w:val="00543D4B"/>
    <w:rsid w:val="00544A7E"/>
    <w:rsid w:val="00545D0B"/>
    <w:rsid w:val="00545F4B"/>
    <w:rsid w:val="005460AA"/>
    <w:rsid w:val="00547B08"/>
    <w:rsid w:val="00547B2D"/>
    <w:rsid w:val="005506E1"/>
    <w:rsid w:val="00552187"/>
    <w:rsid w:val="00553D07"/>
    <w:rsid w:val="00554B62"/>
    <w:rsid w:val="005551CA"/>
    <w:rsid w:val="0055602B"/>
    <w:rsid w:val="0055712A"/>
    <w:rsid w:val="00557C6B"/>
    <w:rsid w:val="00564E5B"/>
    <w:rsid w:val="005652B0"/>
    <w:rsid w:val="005709F3"/>
    <w:rsid w:val="00571EEF"/>
    <w:rsid w:val="00572BA0"/>
    <w:rsid w:val="00573941"/>
    <w:rsid w:val="005748F9"/>
    <w:rsid w:val="00575E50"/>
    <w:rsid w:val="00577177"/>
    <w:rsid w:val="00577574"/>
    <w:rsid w:val="00580F37"/>
    <w:rsid w:val="0058157B"/>
    <w:rsid w:val="00582FD9"/>
    <w:rsid w:val="005863D5"/>
    <w:rsid w:val="005870AE"/>
    <w:rsid w:val="0058733C"/>
    <w:rsid w:val="005906F0"/>
    <w:rsid w:val="005927E7"/>
    <w:rsid w:val="005932DB"/>
    <w:rsid w:val="00593790"/>
    <w:rsid w:val="005953CD"/>
    <w:rsid w:val="0059715D"/>
    <w:rsid w:val="00597378"/>
    <w:rsid w:val="005A1CB7"/>
    <w:rsid w:val="005A2E33"/>
    <w:rsid w:val="005A2E8E"/>
    <w:rsid w:val="005A3F55"/>
    <w:rsid w:val="005A4789"/>
    <w:rsid w:val="005A4876"/>
    <w:rsid w:val="005A49F8"/>
    <w:rsid w:val="005B0698"/>
    <w:rsid w:val="005B113C"/>
    <w:rsid w:val="005B130B"/>
    <w:rsid w:val="005B1624"/>
    <w:rsid w:val="005B3591"/>
    <w:rsid w:val="005B383A"/>
    <w:rsid w:val="005B3FDD"/>
    <w:rsid w:val="005B4D6F"/>
    <w:rsid w:val="005B5944"/>
    <w:rsid w:val="005B5B5D"/>
    <w:rsid w:val="005B6394"/>
    <w:rsid w:val="005B7A82"/>
    <w:rsid w:val="005C002B"/>
    <w:rsid w:val="005C0182"/>
    <w:rsid w:val="005C08AC"/>
    <w:rsid w:val="005C0C28"/>
    <w:rsid w:val="005C13ED"/>
    <w:rsid w:val="005C16BD"/>
    <w:rsid w:val="005C5A18"/>
    <w:rsid w:val="005C639B"/>
    <w:rsid w:val="005C6AA8"/>
    <w:rsid w:val="005C74CB"/>
    <w:rsid w:val="005D0E8E"/>
    <w:rsid w:val="005D188B"/>
    <w:rsid w:val="005D1C10"/>
    <w:rsid w:val="005D2267"/>
    <w:rsid w:val="005D3A7B"/>
    <w:rsid w:val="005D3C5F"/>
    <w:rsid w:val="005D618D"/>
    <w:rsid w:val="005D63F5"/>
    <w:rsid w:val="005D7544"/>
    <w:rsid w:val="005D7770"/>
    <w:rsid w:val="005E1A36"/>
    <w:rsid w:val="005E2C0E"/>
    <w:rsid w:val="005E4556"/>
    <w:rsid w:val="005E4CA5"/>
    <w:rsid w:val="005E59B6"/>
    <w:rsid w:val="005E7B32"/>
    <w:rsid w:val="005F01E2"/>
    <w:rsid w:val="005F089A"/>
    <w:rsid w:val="005F15AC"/>
    <w:rsid w:val="005F17E1"/>
    <w:rsid w:val="005F1E7B"/>
    <w:rsid w:val="005F1EF8"/>
    <w:rsid w:val="005F32B9"/>
    <w:rsid w:val="005F5069"/>
    <w:rsid w:val="005F5A22"/>
    <w:rsid w:val="005F5B33"/>
    <w:rsid w:val="005F5E01"/>
    <w:rsid w:val="005F5F1F"/>
    <w:rsid w:val="0060010D"/>
    <w:rsid w:val="006004F5"/>
    <w:rsid w:val="006011B4"/>
    <w:rsid w:val="006029B1"/>
    <w:rsid w:val="006038BC"/>
    <w:rsid w:val="00612CAC"/>
    <w:rsid w:val="00612E55"/>
    <w:rsid w:val="0061394B"/>
    <w:rsid w:val="0061452F"/>
    <w:rsid w:val="006168CE"/>
    <w:rsid w:val="00616919"/>
    <w:rsid w:val="006171CE"/>
    <w:rsid w:val="00617969"/>
    <w:rsid w:val="006204E2"/>
    <w:rsid w:val="00622289"/>
    <w:rsid w:val="00625107"/>
    <w:rsid w:val="00625733"/>
    <w:rsid w:val="0062707E"/>
    <w:rsid w:val="006279D2"/>
    <w:rsid w:val="00630CD2"/>
    <w:rsid w:val="00632213"/>
    <w:rsid w:val="006335C1"/>
    <w:rsid w:val="0063436D"/>
    <w:rsid w:val="00637CB6"/>
    <w:rsid w:val="00640A1C"/>
    <w:rsid w:val="006420CC"/>
    <w:rsid w:val="0064321F"/>
    <w:rsid w:val="00643A6D"/>
    <w:rsid w:val="00643B82"/>
    <w:rsid w:val="00651D52"/>
    <w:rsid w:val="00651E38"/>
    <w:rsid w:val="00651F11"/>
    <w:rsid w:val="00652085"/>
    <w:rsid w:val="006532E1"/>
    <w:rsid w:val="00653CFA"/>
    <w:rsid w:val="00655BFC"/>
    <w:rsid w:val="0066017C"/>
    <w:rsid w:val="00660918"/>
    <w:rsid w:val="00660F5E"/>
    <w:rsid w:val="0066206E"/>
    <w:rsid w:val="00663EE5"/>
    <w:rsid w:val="00664B7A"/>
    <w:rsid w:val="00664C3F"/>
    <w:rsid w:val="00665E3C"/>
    <w:rsid w:val="0066786E"/>
    <w:rsid w:val="00667C78"/>
    <w:rsid w:val="00670133"/>
    <w:rsid w:val="00670B7E"/>
    <w:rsid w:val="00670DB0"/>
    <w:rsid w:val="00671631"/>
    <w:rsid w:val="00672CFF"/>
    <w:rsid w:val="00672DBD"/>
    <w:rsid w:val="006752CE"/>
    <w:rsid w:val="006767AD"/>
    <w:rsid w:val="00676804"/>
    <w:rsid w:val="0068047E"/>
    <w:rsid w:val="00680AFF"/>
    <w:rsid w:val="00682E55"/>
    <w:rsid w:val="00682F84"/>
    <w:rsid w:val="00682FB0"/>
    <w:rsid w:val="00683623"/>
    <w:rsid w:val="00683C0C"/>
    <w:rsid w:val="00684011"/>
    <w:rsid w:val="00684DBE"/>
    <w:rsid w:val="00685324"/>
    <w:rsid w:val="00685E31"/>
    <w:rsid w:val="0069088E"/>
    <w:rsid w:val="006918CB"/>
    <w:rsid w:val="00693F50"/>
    <w:rsid w:val="00695065"/>
    <w:rsid w:val="006971EB"/>
    <w:rsid w:val="006A0BE9"/>
    <w:rsid w:val="006A1384"/>
    <w:rsid w:val="006A2A3D"/>
    <w:rsid w:val="006A3294"/>
    <w:rsid w:val="006A3E3F"/>
    <w:rsid w:val="006A4513"/>
    <w:rsid w:val="006A4882"/>
    <w:rsid w:val="006A55C3"/>
    <w:rsid w:val="006A5E90"/>
    <w:rsid w:val="006A6268"/>
    <w:rsid w:val="006A6797"/>
    <w:rsid w:val="006A6D07"/>
    <w:rsid w:val="006B0221"/>
    <w:rsid w:val="006B3108"/>
    <w:rsid w:val="006B4967"/>
    <w:rsid w:val="006B5150"/>
    <w:rsid w:val="006B657A"/>
    <w:rsid w:val="006B6D66"/>
    <w:rsid w:val="006B7A6C"/>
    <w:rsid w:val="006C2533"/>
    <w:rsid w:val="006C3634"/>
    <w:rsid w:val="006C46DC"/>
    <w:rsid w:val="006C5208"/>
    <w:rsid w:val="006C5ECB"/>
    <w:rsid w:val="006C6386"/>
    <w:rsid w:val="006C7158"/>
    <w:rsid w:val="006D01D7"/>
    <w:rsid w:val="006D02C1"/>
    <w:rsid w:val="006D1C42"/>
    <w:rsid w:val="006D257E"/>
    <w:rsid w:val="006D41F8"/>
    <w:rsid w:val="006D4969"/>
    <w:rsid w:val="006D4AD3"/>
    <w:rsid w:val="006D4DF1"/>
    <w:rsid w:val="006D528C"/>
    <w:rsid w:val="006D5AEF"/>
    <w:rsid w:val="006D5B86"/>
    <w:rsid w:val="006E1C76"/>
    <w:rsid w:val="006E3C1E"/>
    <w:rsid w:val="006E3C86"/>
    <w:rsid w:val="006E3E3B"/>
    <w:rsid w:val="006E4072"/>
    <w:rsid w:val="006E41B3"/>
    <w:rsid w:val="006E4471"/>
    <w:rsid w:val="006E6BC3"/>
    <w:rsid w:val="006E7689"/>
    <w:rsid w:val="006F191D"/>
    <w:rsid w:val="006F3348"/>
    <w:rsid w:val="006F380A"/>
    <w:rsid w:val="006F3D54"/>
    <w:rsid w:val="006F4E63"/>
    <w:rsid w:val="006F57E4"/>
    <w:rsid w:val="00700D2B"/>
    <w:rsid w:val="00701C93"/>
    <w:rsid w:val="007057E7"/>
    <w:rsid w:val="00705C57"/>
    <w:rsid w:val="0070719C"/>
    <w:rsid w:val="007107ED"/>
    <w:rsid w:val="00712B93"/>
    <w:rsid w:val="0072049A"/>
    <w:rsid w:val="00722404"/>
    <w:rsid w:val="007225C6"/>
    <w:rsid w:val="00722D79"/>
    <w:rsid w:val="007242B8"/>
    <w:rsid w:val="007250BB"/>
    <w:rsid w:val="007251B4"/>
    <w:rsid w:val="007255F1"/>
    <w:rsid w:val="007266CA"/>
    <w:rsid w:val="00726860"/>
    <w:rsid w:val="00734A65"/>
    <w:rsid w:val="007360DB"/>
    <w:rsid w:val="00736D39"/>
    <w:rsid w:val="00736E67"/>
    <w:rsid w:val="00740049"/>
    <w:rsid w:val="00740437"/>
    <w:rsid w:val="00742133"/>
    <w:rsid w:val="007427C4"/>
    <w:rsid w:val="007434A3"/>
    <w:rsid w:val="00744153"/>
    <w:rsid w:val="007468D8"/>
    <w:rsid w:val="0074691A"/>
    <w:rsid w:val="00746F9D"/>
    <w:rsid w:val="007526C3"/>
    <w:rsid w:val="007534CF"/>
    <w:rsid w:val="007546C9"/>
    <w:rsid w:val="00755943"/>
    <w:rsid w:val="0075683C"/>
    <w:rsid w:val="0075725B"/>
    <w:rsid w:val="00757E4E"/>
    <w:rsid w:val="00760AC6"/>
    <w:rsid w:val="0076276E"/>
    <w:rsid w:val="00762C57"/>
    <w:rsid w:val="00763397"/>
    <w:rsid w:val="0076674A"/>
    <w:rsid w:val="007670C6"/>
    <w:rsid w:val="00771626"/>
    <w:rsid w:val="0077176F"/>
    <w:rsid w:val="00771BB7"/>
    <w:rsid w:val="007721E5"/>
    <w:rsid w:val="00773017"/>
    <w:rsid w:val="00775CFF"/>
    <w:rsid w:val="0077787D"/>
    <w:rsid w:val="00780DBB"/>
    <w:rsid w:val="007814CF"/>
    <w:rsid w:val="00781B91"/>
    <w:rsid w:val="00782C6C"/>
    <w:rsid w:val="0078382B"/>
    <w:rsid w:val="0078393C"/>
    <w:rsid w:val="00783D60"/>
    <w:rsid w:val="00783E7B"/>
    <w:rsid w:val="00784903"/>
    <w:rsid w:val="007858F3"/>
    <w:rsid w:val="00787896"/>
    <w:rsid w:val="007878D0"/>
    <w:rsid w:val="007909B5"/>
    <w:rsid w:val="00791A38"/>
    <w:rsid w:val="00791DC2"/>
    <w:rsid w:val="00792AD3"/>
    <w:rsid w:val="00792AEE"/>
    <w:rsid w:val="00793A02"/>
    <w:rsid w:val="007944FA"/>
    <w:rsid w:val="00795C2B"/>
    <w:rsid w:val="00796148"/>
    <w:rsid w:val="00796E61"/>
    <w:rsid w:val="007979E4"/>
    <w:rsid w:val="00797C74"/>
    <w:rsid w:val="007A2179"/>
    <w:rsid w:val="007A2939"/>
    <w:rsid w:val="007A3EA9"/>
    <w:rsid w:val="007A412C"/>
    <w:rsid w:val="007A5E25"/>
    <w:rsid w:val="007A5ED6"/>
    <w:rsid w:val="007A6759"/>
    <w:rsid w:val="007A679A"/>
    <w:rsid w:val="007A7725"/>
    <w:rsid w:val="007B2C01"/>
    <w:rsid w:val="007B5B77"/>
    <w:rsid w:val="007B60D1"/>
    <w:rsid w:val="007B65D8"/>
    <w:rsid w:val="007B72C4"/>
    <w:rsid w:val="007C0CF8"/>
    <w:rsid w:val="007C5562"/>
    <w:rsid w:val="007C6193"/>
    <w:rsid w:val="007C623C"/>
    <w:rsid w:val="007C63E6"/>
    <w:rsid w:val="007D41B5"/>
    <w:rsid w:val="007D466E"/>
    <w:rsid w:val="007D5409"/>
    <w:rsid w:val="007D5510"/>
    <w:rsid w:val="007D5936"/>
    <w:rsid w:val="007D786C"/>
    <w:rsid w:val="007D7B41"/>
    <w:rsid w:val="007E39BC"/>
    <w:rsid w:val="007E437F"/>
    <w:rsid w:val="007E4E65"/>
    <w:rsid w:val="007E53C0"/>
    <w:rsid w:val="007E6373"/>
    <w:rsid w:val="007E70ED"/>
    <w:rsid w:val="007E7D92"/>
    <w:rsid w:val="007E7EE1"/>
    <w:rsid w:val="007F149F"/>
    <w:rsid w:val="007F41FE"/>
    <w:rsid w:val="007F6C14"/>
    <w:rsid w:val="007F6FE8"/>
    <w:rsid w:val="007F7044"/>
    <w:rsid w:val="0080257B"/>
    <w:rsid w:val="00802BC2"/>
    <w:rsid w:val="0080389A"/>
    <w:rsid w:val="00805469"/>
    <w:rsid w:val="0080579B"/>
    <w:rsid w:val="0080650D"/>
    <w:rsid w:val="00807943"/>
    <w:rsid w:val="00807A17"/>
    <w:rsid w:val="00811FD3"/>
    <w:rsid w:val="0081394C"/>
    <w:rsid w:val="00817085"/>
    <w:rsid w:val="00817ED3"/>
    <w:rsid w:val="00817F56"/>
    <w:rsid w:val="00821A6E"/>
    <w:rsid w:val="00823C98"/>
    <w:rsid w:val="00823CA2"/>
    <w:rsid w:val="00824EF0"/>
    <w:rsid w:val="00827EB5"/>
    <w:rsid w:val="008300A7"/>
    <w:rsid w:val="00830B01"/>
    <w:rsid w:val="00830DAF"/>
    <w:rsid w:val="00830DEA"/>
    <w:rsid w:val="008324DD"/>
    <w:rsid w:val="00833613"/>
    <w:rsid w:val="00833ADA"/>
    <w:rsid w:val="00840185"/>
    <w:rsid w:val="0084150A"/>
    <w:rsid w:val="0084198B"/>
    <w:rsid w:val="008425CF"/>
    <w:rsid w:val="00842A44"/>
    <w:rsid w:val="008437F8"/>
    <w:rsid w:val="00844641"/>
    <w:rsid w:val="00844DD2"/>
    <w:rsid w:val="0084502B"/>
    <w:rsid w:val="00845117"/>
    <w:rsid w:val="0084533B"/>
    <w:rsid w:val="008454B9"/>
    <w:rsid w:val="008464D6"/>
    <w:rsid w:val="008478CE"/>
    <w:rsid w:val="008521DC"/>
    <w:rsid w:val="00852645"/>
    <w:rsid w:val="008535F3"/>
    <w:rsid w:val="00854192"/>
    <w:rsid w:val="008552E2"/>
    <w:rsid w:val="00863199"/>
    <w:rsid w:val="00864CE1"/>
    <w:rsid w:val="00865FA4"/>
    <w:rsid w:val="00867F51"/>
    <w:rsid w:val="00870A06"/>
    <w:rsid w:val="00872DFF"/>
    <w:rsid w:val="008738DD"/>
    <w:rsid w:val="00874BD4"/>
    <w:rsid w:val="008752B7"/>
    <w:rsid w:val="008754D2"/>
    <w:rsid w:val="00875F83"/>
    <w:rsid w:val="00876360"/>
    <w:rsid w:val="00876C2F"/>
    <w:rsid w:val="00877671"/>
    <w:rsid w:val="008812CF"/>
    <w:rsid w:val="00882709"/>
    <w:rsid w:val="00882930"/>
    <w:rsid w:val="00885853"/>
    <w:rsid w:val="00886323"/>
    <w:rsid w:val="00887803"/>
    <w:rsid w:val="00890D18"/>
    <w:rsid w:val="0089328A"/>
    <w:rsid w:val="008941A1"/>
    <w:rsid w:val="008953AE"/>
    <w:rsid w:val="00895E30"/>
    <w:rsid w:val="00895E91"/>
    <w:rsid w:val="00896042"/>
    <w:rsid w:val="00896B34"/>
    <w:rsid w:val="008A06A4"/>
    <w:rsid w:val="008A2440"/>
    <w:rsid w:val="008A3243"/>
    <w:rsid w:val="008A3CB0"/>
    <w:rsid w:val="008A5540"/>
    <w:rsid w:val="008A7741"/>
    <w:rsid w:val="008A77B2"/>
    <w:rsid w:val="008B2097"/>
    <w:rsid w:val="008B3513"/>
    <w:rsid w:val="008B506A"/>
    <w:rsid w:val="008B5E86"/>
    <w:rsid w:val="008B7B51"/>
    <w:rsid w:val="008C0AB2"/>
    <w:rsid w:val="008C13F4"/>
    <w:rsid w:val="008C1535"/>
    <w:rsid w:val="008C17D9"/>
    <w:rsid w:val="008C2C2F"/>
    <w:rsid w:val="008C591F"/>
    <w:rsid w:val="008C5CB0"/>
    <w:rsid w:val="008D0016"/>
    <w:rsid w:val="008D145E"/>
    <w:rsid w:val="008D221A"/>
    <w:rsid w:val="008D3EF7"/>
    <w:rsid w:val="008D4268"/>
    <w:rsid w:val="008D5A40"/>
    <w:rsid w:val="008D5C45"/>
    <w:rsid w:val="008D66DB"/>
    <w:rsid w:val="008D68FD"/>
    <w:rsid w:val="008D7203"/>
    <w:rsid w:val="008D733E"/>
    <w:rsid w:val="008D77CD"/>
    <w:rsid w:val="008D7E89"/>
    <w:rsid w:val="008E08FF"/>
    <w:rsid w:val="008E1CEA"/>
    <w:rsid w:val="008E2760"/>
    <w:rsid w:val="008E33AA"/>
    <w:rsid w:val="008E5C7F"/>
    <w:rsid w:val="008E6165"/>
    <w:rsid w:val="008E6377"/>
    <w:rsid w:val="008E6E18"/>
    <w:rsid w:val="008E7D79"/>
    <w:rsid w:val="008F1EA6"/>
    <w:rsid w:val="008F211E"/>
    <w:rsid w:val="008F3024"/>
    <w:rsid w:val="008F3363"/>
    <w:rsid w:val="008F4EEB"/>
    <w:rsid w:val="008F570D"/>
    <w:rsid w:val="008F6315"/>
    <w:rsid w:val="00900A29"/>
    <w:rsid w:val="00901F46"/>
    <w:rsid w:val="009020DE"/>
    <w:rsid w:val="00902EC1"/>
    <w:rsid w:val="009043B0"/>
    <w:rsid w:val="009050CE"/>
    <w:rsid w:val="00905CCE"/>
    <w:rsid w:val="009062FF"/>
    <w:rsid w:val="00906874"/>
    <w:rsid w:val="009075F4"/>
    <w:rsid w:val="0091003A"/>
    <w:rsid w:val="009100BC"/>
    <w:rsid w:val="009107BC"/>
    <w:rsid w:val="00910BCF"/>
    <w:rsid w:val="00913990"/>
    <w:rsid w:val="0091499F"/>
    <w:rsid w:val="009153E9"/>
    <w:rsid w:val="009164E2"/>
    <w:rsid w:val="00917026"/>
    <w:rsid w:val="009201FE"/>
    <w:rsid w:val="00924EA7"/>
    <w:rsid w:val="0092509B"/>
    <w:rsid w:val="00925669"/>
    <w:rsid w:val="009261B7"/>
    <w:rsid w:val="00926B13"/>
    <w:rsid w:val="0092736C"/>
    <w:rsid w:val="00927A92"/>
    <w:rsid w:val="00927B79"/>
    <w:rsid w:val="009301F8"/>
    <w:rsid w:val="009317F3"/>
    <w:rsid w:val="00931FE3"/>
    <w:rsid w:val="0093242A"/>
    <w:rsid w:val="00934CD6"/>
    <w:rsid w:val="00936FD6"/>
    <w:rsid w:val="00941CB7"/>
    <w:rsid w:val="00941CE7"/>
    <w:rsid w:val="00942D2A"/>
    <w:rsid w:val="00944310"/>
    <w:rsid w:val="00944DFA"/>
    <w:rsid w:val="00946007"/>
    <w:rsid w:val="00951518"/>
    <w:rsid w:val="009534AF"/>
    <w:rsid w:val="0095475D"/>
    <w:rsid w:val="00954FA4"/>
    <w:rsid w:val="0095666C"/>
    <w:rsid w:val="00961A53"/>
    <w:rsid w:val="0096269F"/>
    <w:rsid w:val="009626A6"/>
    <w:rsid w:val="0096432E"/>
    <w:rsid w:val="00964783"/>
    <w:rsid w:val="00965F97"/>
    <w:rsid w:val="009666BB"/>
    <w:rsid w:val="00967E51"/>
    <w:rsid w:val="00967EDF"/>
    <w:rsid w:val="009700D4"/>
    <w:rsid w:val="0097118F"/>
    <w:rsid w:val="00971B0F"/>
    <w:rsid w:val="00972162"/>
    <w:rsid w:val="009762B7"/>
    <w:rsid w:val="0097722D"/>
    <w:rsid w:val="009778F9"/>
    <w:rsid w:val="00980018"/>
    <w:rsid w:val="009804BB"/>
    <w:rsid w:val="00982E7E"/>
    <w:rsid w:val="009837CA"/>
    <w:rsid w:val="00983E1B"/>
    <w:rsid w:val="009840FB"/>
    <w:rsid w:val="00984346"/>
    <w:rsid w:val="00985671"/>
    <w:rsid w:val="00986421"/>
    <w:rsid w:val="0098658D"/>
    <w:rsid w:val="00986E23"/>
    <w:rsid w:val="009874A1"/>
    <w:rsid w:val="009877F9"/>
    <w:rsid w:val="009879BC"/>
    <w:rsid w:val="00990DE8"/>
    <w:rsid w:val="00991903"/>
    <w:rsid w:val="009935C1"/>
    <w:rsid w:val="00994A3C"/>
    <w:rsid w:val="00994B95"/>
    <w:rsid w:val="00997494"/>
    <w:rsid w:val="00997A42"/>
    <w:rsid w:val="009A1AD7"/>
    <w:rsid w:val="009A25A6"/>
    <w:rsid w:val="009A319A"/>
    <w:rsid w:val="009A387A"/>
    <w:rsid w:val="009A4249"/>
    <w:rsid w:val="009A6617"/>
    <w:rsid w:val="009B23C7"/>
    <w:rsid w:val="009B408B"/>
    <w:rsid w:val="009B677F"/>
    <w:rsid w:val="009C00D1"/>
    <w:rsid w:val="009C10A5"/>
    <w:rsid w:val="009C1AE8"/>
    <w:rsid w:val="009C2A4C"/>
    <w:rsid w:val="009C2E9F"/>
    <w:rsid w:val="009C3321"/>
    <w:rsid w:val="009C38DB"/>
    <w:rsid w:val="009C51EF"/>
    <w:rsid w:val="009C5582"/>
    <w:rsid w:val="009C60BA"/>
    <w:rsid w:val="009D061B"/>
    <w:rsid w:val="009D0731"/>
    <w:rsid w:val="009D1E46"/>
    <w:rsid w:val="009D2DE4"/>
    <w:rsid w:val="009D51D1"/>
    <w:rsid w:val="009D5F20"/>
    <w:rsid w:val="009D77A9"/>
    <w:rsid w:val="009E0C79"/>
    <w:rsid w:val="009E0D9D"/>
    <w:rsid w:val="009E0F8D"/>
    <w:rsid w:val="009E3643"/>
    <w:rsid w:val="009E3CED"/>
    <w:rsid w:val="009E4A6C"/>
    <w:rsid w:val="009E555C"/>
    <w:rsid w:val="009E675B"/>
    <w:rsid w:val="009F25E3"/>
    <w:rsid w:val="009F2C92"/>
    <w:rsid w:val="009F32CD"/>
    <w:rsid w:val="009F3853"/>
    <w:rsid w:val="009F3D78"/>
    <w:rsid w:val="009F4787"/>
    <w:rsid w:val="009F53A6"/>
    <w:rsid w:val="009F7222"/>
    <w:rsid w:val="009F764E"/>
    <w:rsid w:val="00A00066"/>
    <w:rsid w:val="00A017C3"/>
    <w:rsid w:val="00A01A01"/>
    <w:rsid w:val="00A034E6"/>
    <w:rsid w:val="00A0364D"/>
    <w:rsid w:val="00A046E4"/>
    <w:rsid w:val="00A04F99"/>
    <w:rsid w:val="00A05C1C"/>
    <w:rsid w:val="00A06198"/>
    <w:rsid w:val="00A06479"/>
    <w:rsid w:val="00A07527"/>
    <w:rsid w:val="00A1048D"/>
    <w:rsid w:val="00A10AED"/>
    <w:rsid w:val="00A1305C"/>
    <w:rsid w:val="00A1463E"/>
    <w:rsid w:val="00A1588A"/>
    <w:rsid w:val="00A15D6E"/>
    <w:rsid w:val="00A16402"/>
    <w:rsid w:val="00A169EF"/>
    <w:rsid w:val="00A17157"/>
    <w:rsid w:val="00A17CD8"/>
    <w:rsid w:val="00A20053"/>
    <w:rsid w:val="00A21D1D"/>
    <w:rsid w:val="00A2210F"/>
    <w:rsid w:val="00A22A50"/>
    <w:rsid w:val="00A22D51"/>
    <w:rsid w:val="00A24A88"/>
    <w:rsid w:val="00A25B00"/>
    <w:rsid w:val="00A26738"/>
    <w:rsid w:val="00A27FE5"/>
    <w:rsid w:val="00A300E3"/>
    <w:rsid w:val="00A309BF"/>
    <w:rsid w:val="00A33C09"/>
    <w:rsid w:val="00A33D55"/>
    <w:rsid w:val="00A34CF9"/>
    <w:rsid w:val="00A34D14"/>
    <w:rsid w:val="00A36C74"/>
    <w:rsid w:val="00A375D8"/>
    <w:rsid w:val="00A3768C"/>
    <w:rsid w:val="00A40072"/>
    <w:rsid w:val="00A40939"/>
    <w:rsid w:val="00A41CEA"/>
    <w:rsid w:val="00A4245E"/>
    <w:rsid w:val="00A4324F"/>
    <w:rsid w:val="00A437EA"/>
    <w:rsid w:val="00A442A7"/>
    <w:rsid w:val="00A455BE"/>
    <w:rsid w:val="00A4584D"/>
    <w:rsid w:val="00A45D6B"/>
    <w:rsid w:val="00A45E68"/>
    <w:rsid w:val="00A45F3C"/>
    <w:rsid w:val="00A462C4"/>
    <w:rsid w:val="00A46714"/>
    <w:rsid w:val="00A475F1"/>
    <w:rsid w:val="00A5337E"/>
    <w:rsid w:val="00A53A94"/>
    <w:rsid w:val="00A54A71"/>
    <w:rsid w:val="00A55E0F"/>
    <w:rsid w:val="00A563DE"/>
    <w:rsid w:val="00A571AC"/>
    <w:rsid w:val="00A57B33"/>
    <w:rsid w:val="00A6011C"/>
    <w:rsid w:val="00A60B8C"/>
    <w:rsid w:val="00A60E3F"/>
    <w:rsid w:val="00A614DA"/>
    <w:rsid w:val="00A61F02"/>
    <w:rsid w:val="00A631C1"/>
    <w:rsid w:val="00A63EB7"/>
    <w:rsid w:val="00A64152"/>
    <w:rsid w:val="00A64702"/>
    <w:rsid w:val="00A6512F"/>
    <w:rsid w:val="00A655BB"/>
    <w:rsid w:val="00A65DF8"/>
    <w:rsid w:val="00A71EDC"/>
    <w:rsid w:val="00A742C9"/>
    <w:rsid w:val="00A744C3"/>
    <w:rsid w:val="00A74A6E"/>
    <w:rsid w:val="00A75F19"/>
    <w:rsid w:val="00A75FC2"/>
    <w:rsid w:val="00A76733"/>
    <w:rsid w:val="00A77679"/>
    <w:rsid w:val="00A77A9F"/>
    <w:rsid w:val="00A77E2B"/>
    <w:rsid w:val="00A80EB8"/>
    <w:rsid w:val="00A81AAE"/>
    <w:rsid w:val="00A82525"/>
    <w:rsid w:val="00A82C13"/>
    <w:rsid w:val="00A8437B"/>
    <w:rsid w:val="00A84472"/>
    <w:rsid w:val="00A8532B"/>
    <w:rsid w:val="00A85D11"/>
    <w:rsid w:val="00A874C6"/>
    <w:rsid w:val="00A8759D"/>
    <w:rsid w:val="00A9131E"/>
    <w:rsid w:val="00A914E9"/>
    <w:rsid w:val="00A91E2C"/>
    <w:rsid w:val="00A92586"/>
    <w:rsid w:val="00A95240"/>
    <w:rsid w:val="00A95E1F"/>
    <w:rsid w:val="00A96083"/>
    <w:rsid w:val="00A96592"/>
    <w:rsid w:val="00AA1658"/>
    <w:rsid w:val="00AA247A"/>
    <w:rsid w:val="00AA4AC6"/>
    <w:rsid w:val="00AA5E63"/>
    <w:rsid w:val="00AA60E9"/>
    <w:rsid w:val="00AA689C"/>
    <w:rsid w:val="00AA6F54"/>
    <w:rsid w:val="00AB01EF"/>
    <w:rsid w:val="00AB0D42"/>
    <w:rsid w:val="00AC0167"/>
    <w:rsid w:val="00AC0185"/>
    <w:rsid w:val="00AC0556"/>
    <w:rsid w:val="00AC0B44"/>
    <w:rsid w:val="00AC24FA"/>
    <w:rsid w:val="00AC3315"/>
    <w:rsid w:val="00AC3E46"/>
    <w:rsid w:val="00AC6108"/>
    <w:rsid w:val="00AC661E"/>
    <w:rsid w:val="00AC701D"/>
    <w:rsid w:val="00AC79AF"/>
    <w:rsid w:val="00AD12BB"/>
    <w:rsid w:val="00AD19EA"/>
    <w:rsid w:val="00AD3E6E"/>
    <w:rsid w:val="00AD5906"/>
    <w:rsid w:val="00AD5A4E"/>
    <w:rsid w:val="00AD60A8"/>
    <w:rsid w:val="00AD6B70"/>
    <w:rsid w:val="00AD72D1"/>
    <w:rsid w:val="00AD736C"/>
    <w:rsid w:val="00AE19A2"/>
    <w:rsid w:val="00AE239A"/>
    <w:rsid w:val="00AE2A42"/>
    <w:rsid w:val="00AE2DE7"/>
    <w:rsid w:val="00AE35D6"/>
    <w:rsid w:val="00AE40D9"/>
    <w:rsid w:val="00AE6C32"/>
    <w:rsid w:val="00AE6DFC"/>
    <w:rsid w:val="00AF1041"/>
    <w:rsid w:val="00AF4678"/>
    <w:rsid w:val="00AF4CC3"/>
    <w:rsid w:val="00AF5402"/>
    <w:rsid w:val="00AF581D"/>
    <w:rsid w:val="00AF64E3"/>
    <w:rsid w:val="00B0202D"/>
    <w:rsid w:val="00B049F7"/>
    <w:rsid w:val="00B04F40"/>
    <w:rsid w:val="00B06194"/>
    <w:rsid w:val="00B10771"/>
    <w:rsid w:val="00B132FA"/>
    <w:rsid w:val="00B14212"/>
    <w:rsid w:val="00B1695D"/>
    <w:rsid w:val="00B22620"/>
    <w:rsid w:val="00B256D0"/>
    <w:rsid w:val="00B25822"/>
    <w:rsid w:val="00B25A2C"/>
    <w:rsid w:val="00B25B6B"/>
    <w:rsid w:val="00B2623E"/>
    <w:rsid w:val="00B2696B"/>
    <w:rsid w:val="00B27023"/>
    <w:rsid w:val="00B27420"/>
    <w:rsid w:val="00B2793E"/>
    <w:rsid w:val="00B306B0"/>
    <w:rsid w:val="00B31E3F"/>
    <w:rsid w:val="00B344F3"/>
    <w:rsid w:val="00B34C72"/>
    <w:rsid w:val="00B36A63"/>
    <w:rsid w:val="00B37086"/>
    <w:rsid w:val="00B373BB"/>
    <w:rsid w:val="00B37A83"/>
    <w:rsid w:val="00B400CB"/>
    <w:rsid w:val="00B40178"/>
    <w:rsid w:val="00B42D79"/>
    <w:rsid w:val="00B434FB"/>
    <w:rsid w:val="00B446F2"/>
    <w:rsid w:val="00B47335"/>
    <w:rsid w:val="00B476FA"/>
    <w:rsid w:val="00B47E1F"/>
    <w:rsid w:val="00B500BA"/>
    <w:rsid w:val="00B53004"/>
    <w:rsid w:val="00B54A93"/>
    <w:rsid w:val="00B54F7A"/>
    <w:rsid w:val="00B55B9F"/>
    <w:rsid w:val="00B60265"/>
    <w:rsid w:val="00B61055"/>
    <w:rsid w:val="00B62035"/>
    <w:rsid w:val="00B62271"/>
    <w:rsid w:val="00B645AC"/>
    <w:rsid w:val="00B6510D"/>
    <w:rsid w:val="00B653E6"/>
    <w:rsid w:val="00B66298"/>
    <w:rsid w:val="00B663F6"/>
    <w:rsid w:val="00B66AA1"/>
    <w:rsid w:val="00B670DC"/>
    <w:rsid w:val="00B67D96"/>
    <w:rsid w:val="00B67DA0"/>
    <w:rsid w:val="00B67E6E"/>
    <w:rsid w:val="00B70B0D"/>
    <w:rsid w:val="00B70C0C"/>
    <w:rsid w:val="00B71DBB"/>
    <w:rsid w:val="00B760AD"/>
    <w:rsid w:val="00B80213"/>
    <w:rsid w:val="00B82897"/>
    <w:rsid w:val="00B833EE"/>
    <w:rsid w:val="00B855BD"/>
    <w:rsid w:val="00B900EC"/>
    <w:rsid w:val="00B90E5D"/>
    <w:rsid w:val="00B9294E"/>
    <w:rsid w:val="00B92A96"/>
    <w:rsid w:val="00B94D57"/>
    <w:rsid w:val="00B96B2A"/>
    <w:rsid w:val="00BA0C58"/>
    <w:rsid w:val="00BA0D0A"/>
    <w:rsid w:val="00BA20E3"/>
    <w:rsid w:val="00BA22A8"/>
    <w:rsid w:val="00BA2D92"/>
    <w:rsid w:val="00BA6378"/>
    <w:rsid w:val="00BA67C5"/>
    <w:rsid w:val="00BA7684"/>
    <w:rsid w:val="00BA7C64"/>
    <w:rsid w:val="00BB0164"/>
    <w:rsid w:val="00BB141E"/>
    <w:rsid w:val="00BB79FA"/>
    <w:rsid w:val="00BC0234"/>
    <w:rsid w:val="00BC0A20"/>
    <w:rsid w:val="00BC2E3F"/>
    <w:rsid w:val="00BC2F91"/>
    <w:rsid w:val="00BC3617"/>
    <w:rsid w:val="00BC370A"/>
    <w:rsid w:val="00BC38E2"/>
    <w:rsid w:val="00BC3E10"/>
    <w:rsid w:val="00BC5D0F"/>
    <w:rsid w:val="00BC5DD7"/>
    <w:rsid w:val="00BC69B8"/>
    <w:rsid w:val="00BC71A8"/>
    <w:rsid w:val="00BC763E"/>
    <w:rsid w:val="00BC77B3"/>
    <w:rsid w:val="00BC7EDC"/>
    <w:rsid w:val="00BD5155"/>
    <w:rsid w:val="00BD6AD8"/>
    <w:rsid w:val="00BE1242"/>
    <w:rsid w:val="00BE150C"/>
    <w:rsid w:val="00BE2659"/>
    <w:rsid w:val="00BE2929"/>
    <w:rsid w:val="00BE308F"/>
    <w:rsid w:val="00BE3C97"/>
    <w:rsid w:val="00BE4B68"/>
    <w:rsid w:val="00BE50E8"/>
    <w:rsid w:val="00BE5F94"/>
    <w:rsid w:val="00BE612B"/>
    <w:rsid w:val="00BE6558"/>
    <w:rsid w:val="00BE6588"/>
    <w:rsid w:val="00BE793B"/>
    <w:rsid w:val="00BE7AB3"/>
    <w:rsid w:val="00BF01B7"/>
    <w:rsid w:val="00BF286E"/>
    <w:rsid w:val="00BF618E"/>
    <w:rsid w:val="00BF72C2"/>
    <w:rsid w:val="00BF7B04"/>
    <w:rsid w:val="00C00311"/>
    <w:rsid w:val="00C0054A"/>
    <w:rsid w:val="00C02DD6"/>
    <w:rsid w:val="00C03085"/>
    <w:rsid w:val="00C048FC"/>
    <w:rsid w:val="00C05535"/>
    <w:rsid w:val="00C13469"/>
    <w:rsid w:val="00C134CE"/>
    <w:rsid w:val="00C13A8E"/>
    <w:rsid w:val="00C13CFE"/>
    <w:rsid w:val="00C155A5"/>
    <w:rsid w:val="00C16033"/>
    <w:rsid w:val="00C17B46"/>
    <w:rsid w:val="00C17DC0"/>
    <w:rsid w:val="00C208FA"/>
    <w:rsid w:val="00C22AB8"/>
    <w:rsid w:val="00C2785B"/>
    <w:rsid w:val="00C27976"/>
    <w:rsid w:val="00C317EC"/>
    <w:rsid w:val="00C3392C"/>
    <w:rsid w:val="00C35125"/>
    <w:rsid w:val="00C35CC4"/>
    <w:rsid w:val="00C35EDC"/>
    <w:rsid w:val="00C36066"/>
    <w:rsid w:val="00C3698D"/>
    <w:rsid w:val="00C36BB7"/>
    <w:rsid w:val="00C370C2"/>
    <w:rsid w:val="00C41450"/>
    <w:rsid w:val="00C41FDF"/>
    <w:rsid w:val="00C4347C"/>
    <w:rsid w:val="00C44FF6"/>
    <w:rsid w:val="00C451B1"/>
    <w:rsid w:val="00C45978"/>
    <w:rsid w:val="00C45ABD"/>
    <w:rsid w:val="00C5072D"/>
    <w:rsid w:val="00C5186E"/>
    <w:rsid w:val="00C51C09"/>
    <w:rsid w:val="00C5239D"/>
    <w:rsid w:val="00C52E4E"/>
    <w:rsid w:val="00C536C1"/>
    <w:rsid w:val="00C536DD"/>
    <w:rsid w:val="00C56964"/>
    <w:rsid w:val="00C60E21"/>
    <w:rsid w:val="00C61F2F"/>
    <w:rsid w:val="00C621FC"/>
    <w:rsid w:val="00C623D5"/>
    <w:rsid w:val="00C62B1D"/>
    <w:rsid w:val="00C6342B"/>
    <w:rsid w:val="00C64951"/>
    <w:rsid w:val="00C64EDE"/>
    <w:rsid w:val="00C650C6"/>
    <w:rsid w:val="00C65109"/>
    <w:rsid w:val="00C656E1"/>
    <w:rsid w:val="00C65C11"/>
    <w:rsid w:val="00C67158"/>
    <w:rsid w:val="00C67840"/>
    <w:rsid w:val="00C70359"/>
    <w:rsid w:val="00C70DB6"/>
    <w:rsid w:val="00C71270"/>
    <w:rsid w:val="00C740E8"/>
    <w:rsid w:val="00C746C6"/>
    <w:rsid w:val="00C7475D"/>
    <w:rsid w:val="00C7597B"/>
    <w:rsid w:val="00C75ED6"/>
    <w:rsid w:val="00C75FB2"/>
    <w:rsid w:val="00C81CD2"/>
    <w:rsid w:val="00C82581"/>
    <w:rsid w:val="00C86BFF"/>
    <w:rsid w:val="00C87503"/>
    <w:rsid w:val="00C87BE4"/>
    <w:rsid w:val="00C9040B"/>
    <w:rsid w:val="00C96909"/>
    <w:rsid w:val="00C96E99"/>
    <w:rsid w:val="00C97262"/>
    <w:rsid w:val="00C9742B"/>
    <w:rsid w:val="00C97AB2"/>
    <w:rsid w:val="00CA04D1"/>
    <w:rsid w:val="00CA0A0B"/>
    <w:rsid w:val="00CA4740"/>
    <w:rsid w:val="00CA4FD5"/>
    <w:rsid w:val="00CA5272"/>
    <w:rsid w:val="00CA5F48"/>
    <w:rsid w:val="00CA7302"/>
    <w:rsid w:val="00CA7312"/>
    <w:rsid w:val="00CA7B3B"/>
    <w:rsid w:val="00CB0335"/>
    <w:rsid w:val="00CB18E0"/>
    <w:rsid w:val="00CB35C8"/>
    <w:rsid w:val="00CB5CA4"/>
    <w:rsid w:val="00CB5D22"/>
    <w:rsid w:val="00CB6E3F"/>
    <w:rsid w:val="00CC3DAC"/>
    <w:rsid w:val="00CC42BA"/>
    <w:rsid w:val="00CC6495"/>
    <w:rsid w:val="00CC6CA5"/>
    <w:rsid w:val="00CC6F0B"/>
    <w:rsid w:val="00CD02ED"/>
    <w:rsid w:val="00CD206A"/>
    <w:rsid w:val="00CD2A42"/>
    <w:rsid w:val="00CD3666"/>
    <w:rsid w:val="00CD4008"/>
    <w:rsid w:val="00CD4CD6"/>
    <w:rsid w:val="00CD4D74"/>
    <w:rsid w:val="00CD5191"/>
    <w:rsid w:val="00CD62A8"/>
    <w:rsid w:val="00CD79A8"/>
    <w:rsid w:val="00CE1740"/>
    <w:rsid w:val="00CE2B1B"/>
    <w:rsid w:val="00CE378D"/>
    <w:rsid w:val="00CE3A9B"/>
    <w:rsid w:val="00CE4E7F"/>
    <w:rsid w:val="00CE5030"/>
    <w:rsid w:val="00CE5184"/>
    <w:rsid w:val="00CE6D94"/>
    <w:rsid w:val="00CE7612"/>
    <w:rsid w:val="00CE77F3"/>
    <w:rsid w:val="00CE7A34"/>
    <w:rsid w:val="00CE7FEC"/>
    <w:rsid w:val="00CF0902"/>
    <w:rsid w:val="00CF0C20"/>
    <w:rsid w:val="00CF3106"/>
    <w:rsid w:val="00CF46EB"/>
    <w:rsid w:val="00CF4BFA"/>
    <w:rsid w:val="00CF508A"/>
    <w:rsid w:val="00CF54B3"/>
    <w:rsid w:val="00CF65EB"/>
    <w:rsid w:val="00CF7379"/>
    <w:rsid w:val="00D029B1"/>
    <w:rsid w:val="00D043C8"/>
    <w:rsid w:val="00D07267"/>
    <w:rsid w:val="00D07ADF"/>
    <w:rsid w:val="00D10356"/>
    <w:rsid w:val="00D103D0"/>
    <w:rsid w:val="00D114D0"/>
    <w:rsid w:val="00D12699"/>
    <w:rsid w:val="00D129BC"/>
    <w:rsid w:val="00D15753"/>
    <w:rsid w:val="00D176E1"/>
    <w:rsid w:val="00D17823"/>
    <w:rsid w:val="00D21982"/>
    <w:rsid w:val="00D21D32"/>
    <w:rsid w:val="00D222CA"/>
    <w:rsid w:val="00D223B2"/>
    <w:rsid w:val="00D22E20"/>
    <w:rsid w:val="00D22E9A"/>
    <w:rsid w:val="00D23AB9"/>
    <w:rsid w:val="00D23BB2"/>
    <w:rsid w:val="00D266F1"/>
    <w:rsid w:val="00D26BAB"/>
    <w:rsid w:val="00D26CD8"/>
    <w:rsid w:val="00D2708C"/>
    <w:rsid w:val="00D27F9D"/>
    <w:rsid w:val="00D3124C"/>
    <w:rsid w:val="00D3130A"/>
    <w:rsid w:val="00D32E38"/>
    <w:rsid w:val="00D33E44"/>
    <w:rsid w:val="00D34131"/>
    <w:rsid w:val="00D34588"/>
    <w:rsid w:val="00D349C7"/>
    <w:rsid w:val="00D34AEE"/>
    <w:rsid w:val="00D34EB3"/>
    <w:rsid w:val="00D36D44"/>
    <w:rsid w:val="00D3758B"/>
    <w:rsid w:val="00D37FF2"/>
    <w:rsid w:val="00D415CA"/>
    <w:rsid w:val="00D41D7C"/>
    <w:rsid w:val="00D41F61"/>
    <w:rsid w:val="00D436B0"/>
    <w:rsid w:val="00D4461D"/>
    <w:rsid w:val="00D462C9"/>
    <w:rsid w:val="00D46357"/>
    <w:rsid w:val="00D516CE"/>
    <w:rsid w:val="00D51998"/>
    <w:rsid w:val="00D52B5F"/>
    <w:rsid w:val="00D538CE"/>
    <w:rsid w:val="00D53B06"/>
    <w:rsid w:val="00D543B2"/>
    <w:rsid w:val="00D54400"/>
    <w:rsid w:val="00D5556F"/>
    <w:rsid w:val="00D55D1F"/>
    <w:rsid w:val="00D562AC"/>
    <w:rsid w:val="00D568E2"/>
    <w:rsid w:val="00D56DAD"/>
    <w:rsid w:val="00D6197B"/>
    <w:rsid w:val="00D61D12"/>
    <w:rsid w:val="00D634C7"/>
    <w:rsid w:val="00D63543"/>
    <w:rsid w:val="00D63B8A"/>
    <w:rsid w:val="00D63FE4"/>
    <w:rsid w:val="00D64454"/>
    <w:rsid w:val="00D646D7"/>
    <w:rsid w:val="00D65771"/>
    <w:rsid w:val="00D65CCB"/>
    <w:rsid w:val="00D70689"/>
    <w:rsid w:val="00D70D0B"/>
    <w:rsid w:val="00D751B6"/>
    <w:rsid w:val="00D82236"/>
    <w:rsid w:val="00D85AD5"/>
    <w:rsid w:val="00D9273F"/>
    <w:rsid w:val="00D928EB"/>
    <w:rsid w:val="00D95028"/>
    <w:rsid w:val="00D9513A"/>
    <w:rsid w:val="00D95809"/>
    <w:rsid w:val="00DA19B0"/>
    <w:rsid w:val="00DA2336"/>
    <w:rsid w:val="00DA2BFC"/>
    <w:rsid w:val="00DA3495"/>
    <w:rsid w:val="00DA4782"/>
    <w:rsid w:val="00DA4FC0"/>
    <w:rsid w:val="00DA6790"/>
    <w:rsid w:val="00DB0A62"/>
    <w:rsid w:val="00DB275D"/>
    <w:rsid w:val="00DB2D0E"/>
    <w:rsid w:val="00DB30E0"/>
    <w:rsid w:val="00DB3E16"/>
    <w:rsid w:val="00DB4825"/>
    <w:rsid w:val="00DB606D"/>
    <w:rsid w:val="00DB6B67"/>
    <w:rsid w:val="00DB74F4"/>
    <w:rsid w:val="00DB7C7B"/>
    <w:rsid w:val="00DC06DB"/>
    <w:rsid w:val="00DC1126"/>
    <w:rsid w:val="00DC2A51"/>
    <w:rsid w:val="00DC3855"/>
    <w:rsid w:val="00DC47CE"/>
    <w:rsid w:val="00DC6BF3"/>
    <w:rsid w:val="00DC785C"/>
    <w:rsid w:val="00DD3305"/>
    <w:rsid w:val="00DD566F"/>
    <w:rsid w:val="00DE00DF"/>
    <w:rsid w:val="00DE0F26"/>
    <w:rsid w:val="00DE1D4D"/>
    <w:rsid w:val="00DE24B9"/>
    <w:rsid w:val="00DE4D10"/>
    <w:rsid w:val="00DE4E99"/>
    <w:rsid w:val="00DE5066"/>
    <w:rsid w:val="00DE57FA"/>
    <w:rsid w:val="00DE5E92"/>
    <w:rsid w:val="00DE63DA"/>
    <w:rsid w:val="00DE71B6"/>
    <w:rsid w:val="00DE7346"/>
    <w:rsid w:val="00DF14D5"/>
    <w:rsid w:val="00DF5261"/>
    <w:rsid w:val="00DF655E"/>
    <w:rsid w:val="00DF6582"/>
    <w:rsid w:val="00DF687C"/>
    <w:rsid w:val="00E00400"/>
    <w:rsid w:val="00E00618"/>
    <w:rsid w:val="00E00AD1"/>
    <w:rsid w:val="00E01CD8"/>
    <w:rsid w:val="00E04293"/>
    <w:rsid w:val="00E04801"/>
    <w:rsid w:val="00E04A85"/>
    <w:rsid w:val="00E05577"/>
    <w:rsid w:val="00E057A6"/>
    <w:rsid w:val="00E06002"/>
    <w:rsid w:val="00E06703"/>
    <w:rsid w:val="00E074BE"/>
    <w:rsid w:val="00E0753A"/>
    <w:rsid w:val="00E07ABB"/>
    <w:rsid w:val="00E104C8"/>
    <w:rsid w:val="00E11AE7"/>
    <w:rsid w:val="00E123A5"/>
    <w:rsid w:val="00E13C5A"/>
    <w:rsid w:val="00E14353"/>
    <w:rsid w:val="00E14774"/>
    <w:rsid w:val="00E1565A"/>
    <w:rsid w:val="00E16120"/>
    <w:rsid w:val="00E16154"/>
    <w:rsid w:val="00E16E26"/>
    <w:rsid w:val="00E20920"/>
    <w:rsid w:val="00E210A5"/>
    <w:rsid w:val="00E21639"/>
    <w:rsid w:val="00E236E2"/>
    <w:rsid w:val="00E237D3"/>
    <w:rsid w:val="00E23A93"/>
    <w:rsid w:val="00E2575C"/>
    <w:rsid w:val="00E26793"/>
    <w:rsid w:val="00E27B4E"/>
    <w:rsid w:val="00E27C37"/>
    <w:rsid w:val="00E27E56"/>
    <w:rsid w:val="00E303EC"/>
    <w:rsid w:val="00E30532"/>
    <w:rsid w:val="00E30816"/>
    <w:rsid w:val="00E31272"/>
    <w:rsid w:val="00E31E01"/>
    <w:rsid w:val="00E323EA"/>
    <w:rsid w:val="00E324FE"/>
    <w:rsid w:val="00E32A60"/>
    <w:rsid w:val="00E32A8D"/>
    <w:rsid w:val="00E349A2"/>
    <w:rsid w:val="00E34B99"/>
    <w:rsid w:val="00E3632B"/>
    <w:rsid w:val="00E3636F"/>
    <w:rsid w:val="00E369C1"/>
    <w:rsid w:val="00E36E2D"/>
    <w:rsid w:val="00E37C3C"/>
    <w:rsid w:val="00E37DBB"/>
    <w:rsid w:val="00E4044C"/>
    <w:rsid w:val="00E40EC4"/>
    <w:rsid w:val="00E4134C"/>
    <w:rsid w:val="00E42412"/>
    <w:rsid w:val="00E425BC"/>
    <w:rsid w:val="00E4327B"/>
    <w:rsid w:val="00E43312"/>
    <w:rsid w:val="00E45E01"/>
    <w:rsid w:val="00E46A05"/>
    <w:rsid w:val="00E46ED1"/>
    <w:rsid w:val="00E47D5B"/>
    <w:rsid w:val="00E5048E"/>
    <w:rsid w:val="00E51538"/>
    <w:rsid w:val="00E533C5"/>
    <w:rsid w:val="00E53521"/>
    <w:rsid w:val="00E538DD"/>
    <w:rsid w:val="00E552DA"/>
    <w:rsid w:val="00E55683"/>
    <w:rsid w:val="00E57482"/>
    <w:rsid w:val="00E60CA0"/>
    <w:rsid w:val="00E62136"/>
    <w:rsid w:val="00E6269F"/>
    <w:rsid w:val="00E671A7"/>
    <w:rsid w:val="00E67FF1"/>
    <w:rsid w:val="00E7040E"/>
    <w:rsid w:val="00E71864"/>
    <w:rsid w:val="00E721E4"/>
    <w:rsid w:val="00E723C2"/>
    <w:rsid w:val="00E735CF"/>
    <w:rsid w:val="00E756B6"/>
    <w:rsid w:val="00E7586B"/>
    <w:rsid w:val="00E75ED6"/>
    <w:rsid w:val="00E7619E"/>
    <w:rsid w:val="00E77356"/>
    <w:rsid w:val="00E77367"/>
    <w:rsid w:val="00E77EA1"/>
    <w:rsid w:val="00E8029D"/>
    <w:rsid w:val="00E808CA"/>
    <w:rsid w:val="00E816F9"/>
    <w:rsid w:val="00E82657"/>
    <w:rsid w:val="00E83201"/>
    <w:rsid w:val="00E8340E"/>
    <w:rsid w:val="00E85FCE"/>
    <w:rsid w:val="00E8660A"/>
    <w:rsid w:val="00E86E0C"/>
    <w:rsid w:val="00E902B6"/>
    <w:rsid w:val="00E91B38"/>
    <w:rsid w:val="00E937C2"/>
    <w:rsid w:val="00E947B8"/>
    <w:rsid w:val="00E94E74"/>
    <w:rsid w:val="00E95C1F"/>
    <w:rsid w:val="00E96254"/>
    <w:rsid w:val="00E975B4"/>
    <w:rsid w:val="00EA25F6"/>
    <w:rsid w:val="00EA472F"/>
    <w:rsid w:val="00EA5DFA"/>
    <w:rsid w:val="00EA65E4"/>
    <w:rsid w:val="00EB13A0"/>
    <w:rsid w:val="00EB1B76"/>
    <w:rsid w:val="00EB2537"/>
    <w:rsid w:val="00EB2D0C"/>
    <w:rsid w:val="00EB405E"/>
    <w:rsid w:val="00EB4E6C"/>
    <w:rsid w:val="00EB72E8"/>
    <w:rsid w:val="00EC10DE"/>
    <w:rsid w:val="00EC1BD2"/>
    <w:rsid w:val="00EC1C4F"/>
    <w:rsid w:val="00EC3920"/>
    <w:rsid w:val="00EC3B74"/>
    <w:rsid w:val="00EC4DF4"/>
    <w:rsid w:val="00EC5DD2"/>
    <w:rsid w:val="00EC6D69"/>
    <w:rsid w:val="00EC7055"/>
    <w:rsid w:val="00EC789F"/>
    <w:rsid w:val="00EC7EAA"/>
    <w:rsid w:val="00ED001D"/>
    <w:rsid w:val="00ED0DA6"/>
    <w:rsid w:val="00ED0DEC"/>
    <w:rsid w:val="00ED1342"/>
    <w:rsid w:val="00ED2385"/>
    <w:rsid w:val="00ED3003"/>
    <w:rsid w:val="00ED3AD5"/>
    <w:rsid w:val="00ED3B80"/>
    <w:rsid w:val="00ED3CAF"/>
    <w:rsid w:val="00ED4B84"/>
    <w:rsid w:val="00ED5AE7"/>
    <w:rsid w:val="00ED65D4"/>
    <w:rsid w:val="00ED7972"/>
    <w:rsid w:val="00EE1D2F"/>
    <w:rsid w:val="00EE22C0"/>
    <w:rsid w:val="00EE3B65"/>
    <w:rsid w:val="00EE3DB7"/>
    <w:rsid w:val="00EE414F"/>
    <w:rsid w:val="00EE4A3D"/>
    <w:rsid w:val="00EE55E9"/>
    <w:rsid w:val="00EF065D"/>
    <w:rsid w:val="00EF1B48"/>
    <w:rsid w:val="00EF1DDC"/>
    <w:rsid w:val="00EF3AB7"/>
    <w:rsid w:val="00EF3DE3"/>
    <w:rsid w:val="00EF75B4"/>
    <w:rsid w:val="00EF793E"/>
    <w:rsid w:val="00F015B4"/>
    <w:rsid w:val="00F0224D"/>
    <w:rsid w:val="00F032C2"/>
    <w:rsid w:val="00F040CC"/>
    <w:rsid w:val="00F048DB"/>
    <w:rsid w:val="00F059B4"/>
    <w:rsid w:val="00F1025E"/>
    <w:rsid w:val="00F116FB"/>
    <w:rsid w:val="00F11A98"/>
    <w:rsid w:val="00F1379B"/>
    <w:rsid w:val="00F13F0B"/>
    <w:rsid w:val="00F266BE"/>
    <w:rsid w:val="00F2712E"/>
    <w:rsid w:val="00F31503"/>
    <w:rsid w:val="00F316EB"/>
    <w:rsid w:val="00F32707"/>
    <w:rsid w:val="00F33749"/>
    <w:rsid w:val="00F34973"/>
    <w:rsid w:val="00F35ADE"/>
    <w:rsid w:val="00F36649"/>
    <w:rsid w:val="00F37B09"/>
    <w:rsid w:val="00F41EEA"/>
    <w:rsid w:val="00F428EE"/>
    <w:rsid w:val="00F42B64"/>
    <w:rsid w:val="00F44F03"/>
    <w:rsid w:val="00F46059"/>
    <w:rsid w:val="00F4721C"/>
    <w:rsid w:val="00F47873"/>
    <w:rsid w:val="00F50616"/>
    <w:rsid w:val="00F525B5"/>
    <w:rsid w:val="00F54D6F"/>
    <w:rsid w:val="00F54FB5"/>
    <w:rsid w:val="00F6294C"/>
    <w:rsid w:val="00F65EC7"/>
    <w:rsid w:val="00F66747"/>
    <w:rsid w:val="00F66E98"/>
    <w:rsid w:val="00F67491"/>
    <w:rsid w:val="00F67B73"/>
    <w:rsid w:val="00F70522"/>
    <w:rsid w:val="00F70AEB"/>
    <w:rsid w:val="00F7132F"/>
    <w:rsid w:val="00F71D91"/>
    <w:rsid w:val="00F72A72"/>
    <w:rsid w:val="00F758FA"/>
    <w:rsid w:val="00F7661B"/>
    <w:rsid w:val="00F768AE"/>
    <w:rsid w:val="00F769CD"/>
    <w:rsid w:val="00F76C84"/>
    <w:rsid w:val="00F76CA5"/>
    <w:rsid w:val="00F80719"/>
    <w:rsid w:val="00F80A78"/>
    <w:rsid w:val="00F83041"/>
    <w:rsid w:val="00F8380D"/>
    <w:rsid w:val="00F85464"/>
    <w:rsid w:val="00F85D4F"/>
    <w:rsid w:val="00F85DA4"/>
    <w:rsid w:val="00F879EC"/>
    <w:rsid w:val="00F906A8"/>
    <w:rsid w:val="00F90907"/>
    <w:rsid w:val="00F92A35"/>
    <w:rsid w:val="00F92C61"/>
    <w:rsid w:val="00F94AAB"/>
    <w:rsid w:val="00F94F30"/>
    <w:rsid w:val="00F9527D"/>
    <w:rsid w:val="00F96C1B"/>
    <w:rsid w:val="00FA1C81"/>
    <w:rsid w:val="00FA4341"/>
    <w:rsid w:val="00FA7DD6"/>
    <w:rsid w:val="00FB0828"/>
    <w:rsid w:val="00FB2FA9"/>
    <w:rsid w:val="00FB3F95"/>
    <w:rsid w:val="00FB56FE"/>
    <w:rsid w:val="00FB5DB4"/>
    <w:rsid w:val="00FB6A9F"/>
    <w:rsid w:val="00FB6DD6"/>
    <w:rsid w:val="00FB7D6B"/>
    <w:rsid w:val="00FC0943"/>
    <w:rsid w:val="00FC3D94"/>
    <w:rsid w:val="00FC4810"/>
    <w:rsid w:val="00FD1B44"/>
    <w:rsid w:val="00FD2D0D"/>
    <w:rsid w:val="00FD3A72"/>
    <w:rsid w:val="00FD5201"/>
    <w:rsid w:val="00FD5EE4"/>
    <w:rsid w:val="00FD6476"/>
    <w:rsid w:val="00FD6C86"/>
    <w:rsid w:val="00FD7495"/>
    <w:rsid w:val="00FE05C5"/>
    <w:rsid w:val="00FE396F"/>
    <w:rsid w:val="00FE528E"/>
    <w:rsid w:val="00FE5941"/>
    <w:rsid w:val="00FE7B05"/>
    <w:rsid w:val="00FF06BA"/>
    <w:rsid w:val="00FF0A9B"/>
    <w:rsid w:val="00FF10B6"/>
    <w:rsid w:val="00FF2BF2"/>
    <w:rsid w:val="00FF38A5"/>
    <w:rsid w:val="00FF47CB"/>
    <w:rsid w:val="00FF4E93"/>
    <w:rsid w:val="00FF577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15:docId w15:val="{0EB236DA-C5C7-42A2-8606-6EB12CA84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552E2"/>
  </w:style>
  <w:style w:type="paragraph" w:styleId="Heading5">
    <w:name w:val="heading 5"/>
    <w:basedOn w:val="Normal"/>
    <w:next w:val="Normal"/>
    <w:link w:val="Heading5Char"/>
    <w:qFormat/>
    <w:rsid w:val="00FB3F95"/>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F4D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4DD8"/>
    <w:rPr>
      <w:rFonts w:ascii="Tahoma" w:hAnsi="Tahoma" w:cs="Tahoma"/>
      <w:sz w:val="16"/>
      <w:szCs w:val="16"/>
    </w:rPr>
  </w:style>
  <w:style w:type="character" w:styleId="Strong">
    <w:name w:val="Strong"/>
    <w:basedOn w:val="DefaultParagraphFont"/>
    <w:uiPriority w:val="22"/>
    <w:qFormat/>
    <w:rsid w:val="003F4DD8"/>
    <w:rPr>
      <w:b/>
      <w:bCs/>
    </w:rPr>
  </w:style>
  <w:style w:type="paragraph" w:styleId="Header">
    <w:name w:val="header"/>
    <w:basedOn w:val="Normal"/>
    <w:link w:val="HeaderChar"/>
    <w:uiPriority w:val="99"/>
    <w:unhideWhenUsed/>
    <w:rsid w:val="00670B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0B7E"/>
  </w:style>
  <w:style w:type="paragraph" w:styleId="Footer">
    <w:name w:val="footer"/>
    <w:basedOn w:val="Normal"/>
    <w:link w:val="FooterChar"/>
    <w:uiPriority w:val="99"/>
    <w:unhideWhenUsed/>
    <w:rsid w:val="00670B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0B7E"/>
  </w:style>
  <w:style w:type="character" w:styleId="Hyperlink">
    <w:name w:val="Hyperlink"/>
    <w:basedOn w:val="DefaultParagraphFont"/>
    <w:uiPriority w:val="99"/>
    <w:unhideWhenUsed/>
    <w:rsid w:val="00F70AEB"/>
    <w:rPr>
      <w:color w:val="0000FF" w:themeColor="hyperlink"/>
      <w:u w:val="single"/>
    </w:rPr>
  </w:style>
  <w:style w:type="paragraph" w:styleId="ListParagraph">
    <w:name w:val="List Paragraph"/>
    <w:basedOn w:val="Normal"/>
    <w:uiPriority w:val="34"/>
    <w:qFormat/>
    <w:rsid w:val="00DA2BFC"/>
    <w:pPr>
      <w:ind w:left="720"/>
      <w:contextualSpacing/>
    </w:pPr>
    <w:rPr>
      <w:rFonts w:eastAsiaTheme="minorEastAsia"/>
      <w:lang w:val="en-IN" w:eastAsia="en-IN"/>
    </w:rPr>
  </w:style>
  <w:style w:type="paragraph" w:styleId="NoSpacing">
    <w:name w:val="No Spacing"/>
    <w:uiPriority w:val="1"/>
    <w:qFormat/>
    <w:rsid w:val="00DA2BFC"/>
    <w:pPr>
      <w:spacing w:after="0" w:line="240" w:lineRule="auto"/>
    </w:pPr>
    <w:rPr>
      <w:rFonts w:eastAsiaTheme="minorEastAsia"/>
      <w:lang w:val="en-IN" w:eastAsia="en-IN"/>
    </w:rPr>
  </w:style>
  <w:style w:type="character" w:customStyle="1" w:styleId="apple-converted-space">
    <w:name w:val="apple-converted-space"/>
    <w:basedOn w:val="DefaultParagraphFont"/>
    <w:rsid w:val="00F71D91"/>
  </w:style>
  <w:style w:type="character" w:customStyle="1" w:styleId="Heading5Char">
    <w:name w:val="Heading 5 Char"/>
    <w:basedOn w:val="DefaultParagraphFont"/>
    <w:link w:val="Heading5"/>
    <w:rsid w:val="00FB3F95"/>
    <w:rPr>
      <w:rFonts w:ascii="Times New Roman" w:eastAsia="PMingLiU" w:hAnsi="Times New Roman" w:cs="Times New Roman"/>
      <w:sz w:val="18"/>
      <w:szCs w:val="18"/>
    </w:rPr>
  </w:style>
  <w:style w:type="table" w:styleId="TableGrid">
    <w:name w:val="Table Grid"/>
    <w:basedOn w:val="TableNormal"/>
    <w:uiPriority w:val="39"/>
    <w:rsid w:val="00FB3F9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Emphasis">
    <w:name w:val="Emphasis"/>
    <w:basedOn w:val="DefaultParagraphFont"/>
    <w:uiPriority w:val="20"/>
    <w:qFormat/>
    <w:rsid w:val="0076339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3092662">
      <w:bodyDiv w:val="1"/>
      <w:marLeft w:val="0"/>
      <w:marRight w:val="0"/>
      <w:marTop w:val="0"/>
      <w:marBottom w:val="0"/>
      <w:divBdr>
        <w:top w:val="none" w:sz="0" w:space="0" w:color="auto"/>
        <w:left w:val="none" w:sz="0" w:space="0" w:color="auto"/>
        <w:bottom w:val="none" w:sz="0" w:space="0" w:color="auto"/>
        <w:right w:val="none" w:sz="0" w:space="0" w:color="auto"/>
      </w:divBdr>
    </w:div>
    <w:div w:id="774249770">
      <w:bodyDiv w:val="1"/>
      <w:marLeft w:val="0"/>
      <w:marRight w:val="0"/>
      <w:marTop w:val="0"/>
      <w:marBottom w:val="0"/>
      <w:divBdr>
        <w:top w:val="none" w:sz="0" w:space="0" w:color="auto"/>
        <w:left w:val="none" w:sz="0" w:space="0" w:color="auto"/>
        <w:bottom w:val="none" w:sz="0" w:space="0" w:color="auto"/>
        <w:right w:val="none" w:sz="0" w:space="0" w:color="auto"/>
      </w:divBdr>
      <w:divsChild>
        <w:div w:id="254479754">
          <w:marLeft w:val="0"/>
          <w:marRight w:val="0"/>
          <w:marTop w:val="0"/>
          <w:marBottom w:val="0"/>
          <w:divBdr>
            <w:top w:val="none" w:sz="0" w:space="0" w:color="auto"/>
            <w:left w:val="none" w:sz="0" w:space="0" w:color="auto"/>
            <w:bottom w:val="none" w:sz="0" w:space="0" w:color="auto"/>
            <w:right w:val="none" w:sz="0" w:space="0" w:color="auto"/>
          </w:divBdr>
        </w:div>
        <w:div w:id="1681157103">
          <w:marLeft w:val="0"/>
          <w:marRight w:val="0"/>
          <w:marTop w:val="0"/>
          <w:marBottom w:val="0"/>
          <w:divBdr>
            <w:top w:val="none" w:sz="0" w:space="0" w:color="auto"/>
            <w:left w:val="none" w:sz="0" w:space="0" w:color="auto"/>
            <w:bottom w:val="none" w:sz="0" w:space="0" w:color="auto"/>
            <w:right w:val="none" w:sz="0" w:space="0" w:color="auto"/>
          </w:divBdr>
        </w:div>
        <w:div w:id="1338313823">
          <w:marLeft w:val="0"/>
          <w:marRight w:val="0"/>
          <w:marTop w:val="0"/>
          <w:marBottom w:val="0"/>
          <w:divBdr>
            <w:top w:val="none" w:sz="0" w:space="0" w:color="auto"/>
            <w:left w:val="none" w:sz="0" w:space="0" w:color="auto"/>
            <w:bottom w:val="none" w:sz="0" w:space="0" w:color="auto"/>
            <w:right w:val="none" w:sz="0" w:space="0" w:color="auto"/>
          </w:divBdr>
        </w:div>
        <w:div w:id="792749258">
          <w:marLeft w:val="0"/>
          <w:marRight w:val="0"/>
          <w:marTop w:val="0"/>
          <w:marBottom w:val="0"/>
          <w:divBdr>
            <w:top w:val="none" w:sz="0" w:space="0" w:color="auto"/>
            <w:left w:val="none" w:sz="0" w:space="0" w:color="auto"/>
            <w:bottom w:val="none" w:sz="0" w:space="0" w:color="auto"/>
            <w:right w:val="none" w:sz="0" w:space="0" w:color="auto"/>
          </w:divBdr>
        </w:div>
        <w:div w:id="1085608033">
          <w:marLeft w:val="0"/>
          <w:marRight w:val="0"/>
          <w:marTop w:val="0"/>
          <w:marBottom w:val="0"/>
          <w:divBdr>
            <w:top w:val="none" w:sz="0" w:space="0" w:color="auto"/>
            <w:left w:val="none" w:sz="0" w:space="0" w:color="auto"/>
            <w:bottom w:val="none" w:sz="0" w:space="0" w:color="auto"/>
            <w:right w:val="none" w:sz="0" w:space="0" w:color="auto"/>
          </w:divBdr>
        </w:div>
        <w:div w:id="1912275068">
          <w:marLeft w:val="0"/>
          <w:marRight w:val="0"/>
          <w:marTop w:val="0"/>
          <w:marBottom w:val="0"/>
          <w:divBdr>
            <w:top w:val="none" w:sz="0" w:space="0" w:color="auto"/>
            <w:left w:val="none" w:sz="0" w:space="0" w:color="auto"/>
            <w:bottom w:val="none" w:sz="0" w:space="0" w:color="auto"/>
            <w:right w:val="none" w:sz="0" w:space="0" w:color="auto"/>
          </w:divBdr>
        </w:div>
        <w:div w:id="250549109">
          <w:marLeft w:val="0"/>
          <w:marRight w:val="0"/>
          <w:marTop w:val="0"/>
          <w:marBottom w:val="0"/>
          <w:divBdr>
            <w:top w:val="none" w:sz="0" w:space="0" w:color="auto"/>
            <w:left w:val="none" w:sz="0" w:space="0" w:color="auto"/>
            <w:bottom w:val="none" w:sz="0" w:space="0" w:color="auto"/>
            <w:right w:val="none" w:sz="0" w:space="0" w:color="auto"/>
          </w:divBdr>
        </w:div>
        <w:div w:id="1856073294">
          <w:marLeft w:val="0"/>
          <w:marRight w:val="0"/>
          <w:marTop w:val="0"/>
          <w:marBottom w:val="0"/>
          <w:divBdr>
            <w:top w:val="none" w:sz="0" w:space="0" w:color="auto"/>
            <w:left w:val="none" w:sz="0" w:space="0" w:color="auto"/>
            <w:bottom w:val="none" w:sz="0" w:space="0" w:color="auto"/>
            <w:right w:val="none" w:sz="0" w:space="0" w:color="auto"/>
          </w:divBdr>
        </w:div>
        <w:div w:id="1632393637">
          <w:marLeft w:val="0"/>
          <w:marRight w:val="0"/>
          <w:marTop w:val="0"/>
          <w:marBottom w:val="0"/>
          <w:divBdr>
            <w:top w:val="none" w:sz="0" w:space="0" w:color="auto"/>
            <w:left w:val="none" w:sz="0" w:space="0" w:color="auto"/>
            <w:bottom w:val="none" w:sz="0" w:space="0" w:color="auto"/>
            <w:right w:val="none" w:sz="0" w:space="0" w:color="auto"/>
          </w:divBdr>
        </w:div>
      </w:divsChild>
    </w:div>
    <w:div w:id="856501140">
      <w:bodyDiv w:val="1"/>
      <w:marLeft w:val="0"/>
      <w:marRight w:val="0"/>
      <w:marTop w:val="0"/>
      <w:marBottom w:val="0"/>
      <w:divBdr>
        <w:top w:val="none" w:sz="0" w:space="0" w:color="auto"/>
        <w:left w:val="none" w:sz="0" w:space="0" w:color="auto"/>
        <w:bottom w:val="none" w:sz="0" w:space="0" w:color="auto"/>
        <w:right w:val="none" w:sz="0" w:space="0" w:color="auto"/>
      </w:divBdr>
    </w:div>
    <w:div w:id="2039233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hyperlink" Target="http://www.ijmpr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4868CA-E22C-4713-867C-C10C98577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2393</Words>
  <Characters>13643</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MANAGEMENT AND PROGNOSTIC FACTORS OF ESOPHAGEAL ATRESIAIN UNDER-EQUIPPED FACILITIES: ABOUT 93 CASES</dc:title>
  <dc:creator>admin</dc:creator>
  <cp:lastModifiedBy>Rampyari</cp:lastModifiedBy>
  <cp:revision>6</cp:revision>
  <cp:lastPrinted>2014-05-27T06:14:00Z</cp:lastPrinted>
  <dcterms:created xsi:type="dcterms:W3CDTF">2017-05-02T08:48:00Z</dcterms:created>
  <dcterms:modified xsi:type="dcterms:W3CDTF">2017-05-08T08:54:00Z</dcterms:modified>
</cp:coreProperties>
</file>